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02FD" w14:textId="4B2C4360" w:rsidR="00420A38"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B61923">
        <w:rPr>
          <w:rFonts w:ascii="Calibri" w:hAnsi="Calibri"/>
        </w:rPr>
        <w:t>DTEC</w:t>
      </w:r>
      <w:r w:rsidR="00F10835">
        <w:rPr>
          <w:rFonts w:ascii="Calibri" w:hAnsi="Calibri"/>
          <w:lang w:eastAsia="ja-JP"/>
        </w:rPr>
        <w:t>3</w:t>
      </w:r>
      <w:r w:rsidRPr="007A395D">
        <w:rPr>
          <w:rFonts w:ascii="Calibri" w:hAnsi="Calibri"/>
        </w:rPr>
        <w:t>-</w:t>
      </w:r>
      <w:r w:rsidR="003C5A47">
        <w:rPr>
          <w:rFonts w:ascii="Calibri" w:hAnsi="Calibri"/>
        </w:rPr>
        <w:t>5.2.2.4</w:t>
      </w:r>
    </w:p>
    <w:p w14:paraId="0F972330" w14:textId="0A3820E3" w:rsidR="00C74183" w:rsidRPr="007A395D" w:rsidRDefault="00C74183" w:rsidP="00F10835">
      <w:pPr>
        <w:pStyle w:val="Header"/>
        <w:tabs>
          <w:tab w:val="clear" w:pos="9639"/>
          <w:tab w:val="right" w:pos="5954"/>
        </w:tabs>
        <w:spacing w:after="240"/>
        <w:jc w:val="center"/>
        <w:rPr>
          <w:rFonts w:ascii="Calibri" w:hAnsi="Calibri"/>
          <w:lang w:eastAsia="ja-JP"/>
        </w:rPr>
      </w:pP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33896509"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F10835" w:rsidRPr="00F12871">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C74183">
        <w:rPr>
          <w:rFonts w:ascii="Calibri" w:hAnsi="Calibri" w:cs="Arial" w:hint="eastAsia"/>
          <w:sz w:val="24"/>
          <w:szCs w:val="24"/>
          <w:lang w:eastAsia="ja-JP"/>
        </w:rPr>
        <w:t>X</w:t>
      </w:r>
      <w:r w:rsidRPr="007A395D">
        <w:rPr>
          <w:rFonts w:ascii="Calibri" w:hAnsi="Calibri" w:cs="Arial"/>
          <w:sz w:val="24"/>
          <w:szCs w:val="24"/>
        </w:rPr>
        <w:t xml:space="preserve">  Input</w:t>
      </w:r>
    </w:p>
    <w:p w14:paraId="0BC79547" w14:textId="31D3DE58" w:rsidR="0080294B" w:rsidRPr="00F12871" w:rsidRDefault="00DF25EC" w:rsidP="00037DF4">
      <w:pPr>
        <w:pStyle w:val="BodyText"/>
        <w:tabs>
          <w:tab w:val="left" w:pos="1843"/>
        </w:tabs>
        <w:rPr>
          <w:rFonts w:ascii="Calibri" w:hAnsi="Calibri"/>
        </w:rPr>
      </w:pPr>
      <w:r w:rsidRPr="00F12871">
        <w:rPr>
          <w:rFonts w:ascii="Calibri" w:hAnsi="Calibri" w:cs="Arial"/>
        </w:rPr>
        <w:t>X</w:t>
      </w:r>
      <w:r w:rsidR="0080294B" w:rsidRPr="00F12871">
        <w:rPr>
          <w:rFonts w:ascii="Calibri" w:hAnsi="Calibri" w:cs="Arial"/>
          <w:sz w:val="24"/>
          <w:szCs w:val="24"/>
        </w:rPr>
        <w:t xml:space="preserve">  </w:t>
      </w:r>
      <w:r w:rsidR="00B61923" w:rsidRPr="00F12871">
        <w:rPr>
          <w:rFonts w:ascii="Calibri" w:hAnsi="Calibri" w:cs="Arial"/>
        </w:rPr>
        <w:t>DTEC</w:t>
      </w:r>
      <w:r w:rsidR="0080294B" w:rsidRPr="00F12871">
        <w:rPr>
          <w:rFonts w:ascii="Calibri" w:hAnsi="Calibri" w:cs="Arial"/>
          <w:b/>
          <w:sz w:val="24"/>
          <w:szCs w:val="24"/>
        </w:rPr>
        <w:tab/>
        <w:t>□</w:t>
      </w:r>
      <w:r w:rsidR="0080294B" w:rsidRPr="00F12871">
        <w:rPr>
          <w:rFonts w:ascii="Calibri" w:hAnsi="Calibri" w:cs="Arial"/>
          <w:sz w:val="24"/>
          <w:szCs w:val="24"/>
        </w:rPr>
        <w:t xml:space="preserve">  </w:t>
      </w:r>
      <w:r w:rsidR="003D2DC1" w:rsidRPr="00F12871">
        <w:rPr>
          <w:rFonts w:ascii="Calibri" w:hAnsi="Calibri" w:cs="Arial"/>
        </w:rPr>
        <w:t>VTS</w:t>
      </w:r>
      <w:r w:rsidR="0080294B" w:rsidRPr="00F12871">
        <w:rPr>
          <w:rFonts w:ascii="Calibri" w:hAnsi="Calibri" w:cs="Arial"/>
          <w:sz w:val="24"/>
          <w:szCs w:val="24"/>
        </w:rPr>
        <w:tab/>
      </w:r>
      <w:r w:rsidR="0080294B" w:rsidRPr="00F12871">
        <w:rPr>
          <w:rFonts w:ascii="Calibri" w:hAnsi="Calibri" w:cs="Arial"/>
          <w:sz w:val="24"/>
          <w:szCs w:val="24"/>
        </w:rPr>
        <w:tab/>
      </w:r>
      <w:r w:rsidR="0080294B" w:rsidRPr="00F12871">
        <w:rPr>
          <w:rFonts w:ascii="Calibri" w:hAnsi="Calibri" w:cs="Arial"/>
          <w:sz w:val="24"/>
          <w:szCs w:val="24"/>
        </w:rPr>
        <w:tab/>
      </w:r>
      <w:r w:rsidR="0080294B" w:rsidRPr="00F12871">
        <w:rPr>
          <w:rFonts w:ascii="Calibri" w:hAnsi="Calibri" w:cs="Arial"/>
          <w:sz w:val="24"/>
          <w:szCs w:val="24"/>
        </w:rPr>
        <w:tab/>
      </w:r>
      <w:r w:rsidR="0080294B" w:rsidRPr="00F12871">
        <w:rPr>
          <w:rFonts w:ascii="Calibri" w:hAnsi="Calibri" w:cs="Arial"/>
          <w:sz w:val="24"/>
          <w:szCs w:val="24"/>
        </w:rPr>
        <w:tab/>
      </w:r>
      <w:r w:rsidR="00037DF4" w:rsidRPr="00F12871">
        <w:rPr>
          <w:rFonts w:ascii="Calibri" w:hAnsi="Calibri" w:cs="Arial"/>
          <w:sz w:val="24"/>
          <w:szCs w:val="24"/>
        </w:rPr>
        <w:tab/>
      </w:r>
      <w:r w:rsidR="00037DF4" w:rsidRPr="00F12871">
        <w:rPr>
          <w:rFonts w:ascii="Calibri" w:hAnsi="Calibri" w:cs="Arial"/>
          <w:sz w:val="24"/>
          <w:szCs w:val="24"/>
        </w:rPr>
        <w:tab/>
      </w:r>
      <w:r w:rsidR="0080294B" w:rsidRPr="00F12871">
        <w:rPr>
          <w:rFonts w:ascii="Calibri" w:hAnsi="Calibri" w:cs="Arial"/>
          <w:b/>
          <w:sz w:val="24"/>
          <w:szCs w:val="24"/>
        </w:rPr>
        <w:t>□</w:t>
      </w:r>
      <w:r w:rsidR="0080294B" w:rsidRPr="00F12871">
        <w:rPr>
          <w:rFonts w:ascii="Calibri" w:hAnsi="Calibri" w:cs="Arial"/>
          <w:sz w:val="24"/>
          <w:szCs w:val="24"/>
        </w:rPr>
        <w:t xml:space="preserve">  Information</w:t>
      </w:r>
    </w:p>
    <w:p w14:paraId="3E1C02C4" w14:textId="77777777" w:rsidR="0080294B" w:rsidRPr="00F12871" w:rsidRDefault="0080294B" w:rsidP="00FE5674">
      <w:pPr>
        <w:pStyle w:val="BodyText"/>
        <w:tabs>
          <w:tab w:val="left" w:pos="2835"/>
        </w:tabs>
        <w:rPr>
          <w:rFonts w:ascii="Calibri" w:hAnsi="Calibri"/>
        </w:rPr>
      </w:pPr>
    </w:p>
    <w:p w14:paraId="4DD25FD9" w14:textId="580C5E8B" w:rsidR="00A446C9" w:rsidRPr="00F12871" w:rsidRDefault="00A446C9" w:rsidP="00FE5674">
      <w:pPr>
        <w:pStyle w:val="BodyText"/>
        <w:tabs>
          <w:tab w:val="left" w:pos="2835"/>
        </w:tabs>
        <w:rPr>
          <w:rFonts w:ascii="Calibri" w:hAnsi="Calibri"/>
        </w:rPr>
      </w:pPr>
      <w:r w:rsidRPr="00F12871">
        <w:rPr>
          <w:rFonts w:ascii="Calibri" w:hAnsi="Calibri"/>
        </w:rPr>
        <w:t>Agenda item</w:t>
      </w:r>
      <w:r w:rsidR="001C44A3" w:rsidRPr="00F12871">
        <w:rPr>
          <w:rFonts w:ascii="Calibri" w:hAnsi="Calibri"/>
        </w:rPr>
        <w:tab/>
      </w:r>
      <w:r w:rsidR="0080294B" w:rsidRPr="00F12871">
        <w:rPr>
          <w:rFonts w:ascii="Calibri" w:hAnsi="Calibri"/>
        </w:rPr>
        <w:tab/>
      </w:r>
      <w:r w:rsidR="0080294B" w:rsidRPr="00F12871">
        <w:rPr>
          <w:rFonts w:ascii="Calibri" w:hAnsi="Calibri"/>
        </w:rPr>
        <w:tab/>
      </w:r>
      <w:r w:rsidR="003C5A47">
        <w:rPr>
          <w:rFonts w:ascii="Calibri" w:hAnsi="Calibri"/>
        </w:rPr>
        <w:t>5.2</w:t>
      </w:r>
    </w:p>
    <w:p w14:paraId="1AB3E246" w14:textId="6F0BE4A4"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1C44A3" w:rsidRPr="007A395D">
        <w:rPr>
          <w:rFonts w:ascii="Calibri" w:hAnsi="Calibri"/>
        </w:rPr>
        <w:tab/>
      </w:r>
      <w:r w:rsidR="00F10835">
        <w:rPr>
          <w:rFonts w:ascii="Calibri" w:hAnsi="Calibri"/>
        </w:rPr>
        <w:t>6.2.1</w:t>
      </w:r>
    </w:p>
    <w:p w14:paraId="01FC5420" w14:textId="0D230727"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F10835">
        <w:rPr>
          <w:rFonts w:ascii="Calibri" w:hAnsi="Calibri"/>
        </w:rPr>
        <w:t>Jan-Hendrik OLTMANN</w:t>
      </w:r>
      <w:r w:rsidR="00201792">
        <w:rPr>
          <w:rFonts w:ascii="Calibri" w:hAnsi="Calibri"/>
        </w:rPr>
        <w:t xml:space="preserve"> (WSV</w:t>
      </w:r>
      <w:r w:rsidR="00C73954">
        <w:rPr>
          <w:rFonts w:ascii="Calibri" w:hAnsi="Calibri"/>
        </w:rPr>
        <w:t>/Germany</w:t>
      </w:r>
      <w:r w:rsidR="00201792">
        <w:rPr>
          <w:rFonts w:ascii="Calibri" w:hAnsi="Calibri"/>
        </w:rPr>
        <w:t>)</w:t>
      </w:r>
    </w:p>
    <w:p w14:paraId="60BCC120" w14:textId="77777777" w:rsidR="0080294B" w:rsidRPr="007A395D" w:rsidRDefault="0080294B" w:rsidP="00FE5674">
      <w:pPr>
        <w:pStyle w:val="BodyText"/>
        <w:tabs>
          <w:tab w:val="left" w:pos="2835"/>
        </w:tabs>
        <w:rPr>
          <w:rFonts w:ascii="Calibri" w:hAnsi="Calibri"/>
        </w:rPr>
      </w:pPr>
    </w:p>
    <w:p w14:paraId="4834080C" w14:textId="7CBCC7C9" w:rsidR="00A446C9" w:rsidRPr="00605E43" w:rsidRDefault="006A7915" w:rsidP="00A446C9">
      <w:pPr>
        <w:pStyle w:val="Title"/>
        <w:rPr>
          <w:rFonts w:ascii="Calibri" w:hAnsi="Calibri"/>
          <w:color w:val="0070C0"/>
        </w:rPr>
      </w:pPr>
      <w:r>
        <w:rPr>
          <w:rFonts w:ascii="Calibri" w:hAnsi="Calibri"/>
          <w:color w:val="0070C0"/>
        </w:rPr>
        <w:t>Workshop proposal</w:t>
      </w:r>
      <w:r w:rsidR="00DE205A">
        <w:rPr>
          <w:rFonts w:ascii="Calibri" w:hAnsi="Calibri"/>
          <w:color w:val="0070C0"/>
        </w:rPr>
        <w:t xml:space="preserve"> on the </w:t>
      </w:r>
      <w:r w:rsidR="00F10835">
        <w:rPr>
          <w:rFonts w:ascii="Calibri" w:hAnsi="Calibri"/>
          <w:color w:val="0070C0"/>
        </w:rPr>
        <w:t xml:space="preserve">Application of International Mobile Telecommunication (IMT) to Marine </w:t>
      </w:r>
      <w:proofErr w:type="spellStart"/>
      <w:r w:rsidR="00F10835">
        <w:rPr>
          <w:rFonts w:ascii="Calibri" w:hAnsi="Calibri"/>
          <w:color w:val="0070C0"/>
        </w:rPr>
        <w:t>AtoNs</w:t>
      </w:r>
      <w:proofErr w:type="spellEnd"/>
    </w:p>
    <w:p w14:paraId="0F258596" w14:textId="50FB6E37" w:rsidR="00A446C9" w:rsidRPr="00605E43" w:rsidRDefault="00A446C9" w:rsidP="00605E43">
      <w:pPr>
        <w:pStyle w:val="Heading1"/>
      </w:pPr>
      <w:r w:rsidRPr="00605E43">
        <w:t>Summary</w:t>
      </w:r>
    </w:p>
    <w:p w14:paraId="2D829213" w14:textId="2578DE05" w:rsidR="00BD4E6F" w:rsidRPr="007A395D" w:rsidRDefault="00F12871" w:rsidP="00B56BDF">
      <w:pPr>
        <w:pStyle w:val="BodyText"/>
        <w:rPr>
          <w:rFonts w:ascii="Calibri" w:hAnsi="Calibri"/>
        </w:rPr>
      </w:pPr>
      <w:r>
        <w:rPr>
          <w:rFonts w:ascii="Calibri" w:hAnsi="Calibri"/>
        </w:rPr>
        <w:t>This document proposes</w:t>
      </w:r>
      <w:r w:rsidR="00FC3451">
        <w:rPr>
          <w:rFonts w:ascii="Calibri" w:hAnsi="Calibri"/>
        </w:rPr>
        <w:t xml:space="preserve"> an IALA workshop by DTEC Committee in order to give guidance to IALA members for the </w:t>
      </w:r>
      <w:r w:rsidR="00F10835">
        <w:rPr>
          <w:rFonts w:ascii="Calibri" w:hAnsi="Calibri"/>
        </w:rPr>
        <w:t>application</w:t>
      </w:r>
      <w:r w:rsidR="00FC3451">
        <w:rPr>
          <w:rFonts w:ascii="Calibri" w:hAnsi="Calibri"/>
        </w:rPr>
        <w:t xml:space="preserve"> of </w:t>
      </w:r>
      <w:r w:rsidR="00F10835">
        <w:rPr>
          <w:rFonts w:ascii="Calibri" w:hAnsi="Calibri"/>
        </w:rPr>
        <w:t xml:space="preserve">International Mobile Telecommunication (IMT) to Marine </w:t>
      </w:r>
      <w:proofErr w:type="spellStart"/>
      <w:r w:rsidR="00F10835">
        <w:rPr>
          <w:rFonts w:ascii="Calibri" w:hAnsi="Calibri"/>
        </w:rPr>
        <w:t>AtoNs</w:t>
      </w:r>
      <w:proofErr w:type="spellEnd"/>
      <w:r w:rsidR="00BD4E6F" w:rsidRPr="007A395D">
        <w:rPr>
          <w:rFonts w:ascii="Calibri" w:hAnsi="Calibri"/>
        </w:rPr>
        <w:t>.</w:t>
      </w:r>
    </w:p>
    <w:p w14:paraId="53733F03" w14:textId="77777777" w:rsidR="00A446C9" w:rsidRPr="007A395D" w:rsidRDefault="00A446C9" w:rsidP="00605E43">
      <w:pPr>
        <w:pStyle w:val="Heading1"/>
      </w:pPr>
      <w:r w:rsidRPr="007A395D">
        <w:t>Background</w:t>
      </w:r>
    </w:p>
    <w:p w14:paraId="07452EBC" w14:textId="541EEAF5" w:rsidR="00A446C9" w:rsidRPr="007A395D" w:rsidRDefault="00F10835" w:rsidP="00A446C9">
      <w:pPr>
        <w:pStyle w:val="BodyText"/>
        <w:rPr>
          <w:rFonts w:ascii="Calibri" w:hAnsi="Calibri"/>
          <w:lang w:eastAsia="ja-JP"/>
        </w:rPr>
      </w:pPr>
      <w:r>
        <w:rPr>
          <w:rFonts w:ascii="Calibri" w:hAnsi="Calibri"/>
          <w:lang w:eastAsia="ja-JP"/>
        </w:rPr>
        <w:t>During intersessional work of the WG2/TG-6.2.1 of the</w:t>
      </w:r>
      <w:r w:rsidR="00667CC6">
        <w:rPr>
          <w:rFonts w:ascii="Calibri" w:hAnsi="Calibri"/>
          <w:lang w:eastAsia="ja-JP"/>
        </w:rPr>
        <w:t xml:space="preserve"> </w:t>
      </w:r>
      <w:r>
        <w:rPr>
          <w:rFonts w:ascii="Calibri" w:hAnsi="Calibri"/>
          <w:lang w:eastAsia="ja-JP"/>
        </w:rPr>
        <w:t xml:space="preserve">DTEC </w:t>
      </w:r>
      <w:r w:rsidR="00667CC6">
        <w:rPr>
          <w:rFonts w:ascii="Calibri" w:hAnsi="Calibri"/>
          <w:lang w:eastAsia="ja-JP"/>
        </w:rPr>
        <w:t xml:space="preserve">Committee, </w:t>
      </w:r>
      <w:r w:rsidR="00201792">
        <w:rPr>
          <w:rFonts w:ascii="Calibri" w:hAnsi="Calibri"/>
          <w:lang w:eastAsia="ja-JP"/>
        </w:rPr>
        <w:t xml:space="preserve">the huge potential of the International Mobile Telecommunication (IMT) family of systems for the ‘wet’ domain and consequentially </w:t>
      </w:r>
      <w:r w:rsidR="00667CC6">
        <w:rPr>
          <w:rFonts w:ascii="Calibri" w:hAnsi="Calibri"/>
          <w:lang w:eastAsia="ja-JP"/>
        </w:rPr>
        <w:t>a need for</w:t>
      </w:r>
      <w:r>
        <w:rPr>
          <w:rFonts w:ascii="Calibri" w:hAnsi="Calibri"/>
          <w:lang w:eastAsia="ja-JP"/>
        </w:rPr>
        <w:t xml:space="preserve"> consideration and discussion of the application of the </w:t>
      </w:r>
      <w:r w:rsidR="00201792">
        <w:rPr>
          <w:rFonts w:ascii="Calibri" w:hAnsi="Calibri"/>
          <w:lang w:eastAsia="ja-JP"/>
        </w:rPr>
        <w:t>IMT</w:t>
      </w:r>
      <w:r>
        <w:rPr>
          <w:rFonts w:ascii="Calibri" w:hAnsi="Calibri"/>
          <w:lang w:eastAsia="ja-JP"/>
        </w:rPr>
        <w:t xml:space="preserve"> family of s</w:t>
      </w:r>
      <w:r w:rsidR="00667CC6">
        <w:rPr>
          <w:rFonts w:ascii="Calibri" w:hAnsi="Calibri"/>
          <w:lang w:eastAsia="ja-JP"/>
        </w:rPr>
        <w:t xml:space="preserve">ystems </w:t>
      </w:r>
      <w:r w:rsidR="00201792">
        <w:rPr>
          <w:rFonts w:ascii="Calibri" w:hAnsi="Calibri"/>
          <w:lang w:eastAsia="ja-JP"/>
        </w:rPr>
        <w:t>were</w:t>
      </w:r>
      <w:r w:rsidR="00667CC6">
        <w:rPr>
          <w:rFonts w:ascii="Calibri" w:hAnsi="Calibri"/>
          <w:lang w:eastAsia="ja-JP"/>
        </w:rPr>
        <w:t xml:space="preserve"> recognised</w:t>
      </w:r>
      <w:r w:rsidR="00F223CB">
        <w:rPr>
          <w:rFonts w:ascii="Calibri" w:hAnsi="Calibri"/>
          <w:lang w:eastAsia="ja-JP"/>
        </w:rPr>
        <w:t>. As the result,</w:t>
      </w:r>
      <w:r>
        <w:rPr>
          <w:rFonts w:ascii="Calibri" w:hAnsi="Calibri"/>
          <w:lang w:eastAsia="ja-JP"/>
        </w:rPr>
        <w:t xml:space="preserve"> this</w:t>
      </w:r>
      <w:r w:rsidR="00A476C2">
        <w:rPr>
          <w:rFonts w:ascii="Calibri" w:hAnsi="Calibri"/>
          <w:lang w:eastAsia="ja-JP"/>
        </w:rPr>
        <w:t xml:space="preserve"> proposal of </w:t>
      </w:r>
      <w:r w:rsidR="00201792">
        <w:rPr>
          <w:rFonts w:ascii="Calibri" w:hAnsi="Calibri"/>
          <w:lang w:eastAsia="ja-JP"/>
        </w:rPr>
        <w:t xml:space="preserve">an </w:t>
      </w:r>
      <w:r w:rsidR="00A476C2">
        <w:rPr>
          <w:rFonts w:ascii="Calibri" w:hAnsi="Calibri"/>
          <w:lang w:eastAsia="ja-JP"/>
        </w:rPr>
        <w:t xml:space="preserve">IALA workshop on this </w:t>
      </w:r>
      <w:r w:rsidR="00201792">
        <w:rPr>
          <w:rFonts w:ascii="Calibri" w:hAnsi="Calibri"/>
          <w:lang w:eastAsia="ja-JP"/>
        </w:rPr>
        <w:t xml:space="preserve">issue to DTEC </w:t>
      </w:r>
      <w:r>
        <w:rPr>
          <w:rFonts w:ascii="Calibri" w:hAnsi="Calibri"/>
          <w:lang w:eastAsia="ja-JP"/>
        </w:rPr>
        <w:t>3</w:t>
      </w:r>
      <w:r w:rsidR="00F223CB">
        <w:rPr>
          <w:rFonts w:ascii="Calibri" w:hAnsi="Calibri"/>
          <w:lang w:eastAsia="ja-JP"/>
        </w:rPr>
        <w:t xml:space="preserve"> was prepared</w:t>
      </w:r>
      <w:r w:rsidR="00A476C2">
        <w:rPr>
          <w:rFonts w:ascii="Calibri" w:hAnsi="Calibri"/>
          <w:lang w:eastAsia="ja-JP"/>
        </w:rPr>
        <w:t>.</w:t>
      </w:r>
    </w:p>
    <w:p w14:paraId="041E9135" w14:textId="77777777" w:rsidR="00A446C9" w:rsidRPr="007A395D" w:rsidRDefault="00A446C9" w:rsidP="00605E43">
      <w:pPr>
        <w:pStyle w:val="Heading1"/>
      </w:pPr>
      <w:r w:rsidRPr="007A395D">
        <w:t>Discussion</w:t>
      </w:r>
    </w:p>
    <w:p w14:paraId="4DA377B3" w14:textId="51C86F3F" w:rsidR="00266884" w:rsidRDefault="00201792" w:rsidP="00201792">
      <w:pPr>
        <w:pStyle w:val="BodyText"/>
        <w:rPr>
          <w:rFonts w:ascii="Calibri" w:hAnsi="Calibri"/>
          <w:lang w:eastAsia="ja-JP"/>
        </w:rPr>
      </w:pPr>
      <w:r w:rsidRPr="00201792">
        <w:rPr>
          <w:rFonts w:ascii="Calibri" w:hAnsi="Calibri"/>
          <w:lang w:eastAsia="ja-JP"/>
        </w:rPr>
        <w:t xml:space="preserve">By the submission of the document NCSR 7/INF.6 entitled </w:t>
      </w:r>
      <w:r w:rsidR="00C73954">
        <w:rPr>
          <w:rFonts w:ascii="Calibri" w:hAnsi="Calibri"/>
          <w:lang w:eastAsia="ja-JP"/>
        </w:rPr>
        <w:t>‘</w:t>
      </w:r>
      <w:r>
        <w:rPr>
          <w:rFonts w:ascii="Calibri" w:hAnsi="Calibri"/>
          <w:lang w:eastAsia="ja-JP"/>
        </w:rPr>
        <w:t>3</w:t>
      </w:r>
      <w:r w:rsidRPr="00201792">
        <w:rPr>
          <w:rFonts w:ascii="Calibri" w:hAnsi="Calibri"/>
          <w:lang w:eastAsia="ja-JP"/>
        </w:rPr>
        <w:t>rd</w:t>
      </w:r>
      <w:r>
        <w:rPr>
          <w:rFonts w:ascii="Calibri" w:hAnsi="Calibri"/>
          <w:lang w:eastAsia="ja-JP"/>
        </w:rPr>
        <w:t xml:space="preserve"> Generation partnership project (3GPP) in the maritime domain</w:t>
      </w:r>
      <w:r w:rsidR="00C73954">
        <w:rPr>
          <w:rFonts w:ascii="Calibri" w:hAnsi="Calibri"/>
          <w:lang w:eastAsia="ja-JP"/>
        </w:rPr>
        <w:t>’</w:t>
      </w:r>
      <w:r>
        <w:rPr>
          <w:rFonts w:ascii="Calibri" w:hAnsi="Calibri"/>
          <w:lang w:eastAsia="ja-JP"/>
        </w:rPr>
        <w:t xml:space="preserve"> in November </w:t>
      </w:r>
      <w:r w:rsidRPr="00201792">
        <w:rPr>
          <w:rFonts w:ascii="Calibri" w:hAnsi="Calibri"/>
          <w:lang w:eastAsia="ja-JP"/>
        </w:rPr>
        <w:t xml:space="preserve">2019 to the IMO’s NCSR Sub-Committee, IALA has made the maritime domain aware of </w:t>
      </w:r>
      <w:r>
        <w:rPr>
          <w:rFonts w:ascii="Calibri" w:hAnsi="Calibri"/>
          <w:lang w:eastAsia="ja-JP"/>
        </w:rPr>
        <w:t xml:space="preserve">the potential of the IMT family of systems for the first time. At that point in time, the focus was on the IMT-Advanced system (aka LTE aka 4G) as applied to maritime. </w:t>
      </w:r>
    </w:p>
    <w:p w14:paraId="5FA8E23D" w14:textId="7C0F2BCA" w:rsidR="00266884" w:rsidRDefault="00201792" w:rsidP="00201792">
      <w:pPr>
        <w:pStyle w:val="BodyText"/>
        <w:rPr>
          <w:rFonts w:ascii="Calibri" w:hAnsi="Calibri"/>
          <w:lang w:eastAsia="ja-JP"/>
        </w:rPr>
      </w:pPr>
      <w:r>
        <w:rPr>
          <w:rFonts w:ascii="Calibri" w:hAnsi="Calibri"/>
          <w:lang w:eastAsia="ja-JP"/>
        </w:rPr>
        <w:t xml:space="preserve">In the meantime, </w:t>
      </w:r>
      <w:r w:rsidR="001D3280">
        <w:rPr>
          <w:rFonts w:ascii="Calibri" w:hAnsi="Calibri"/>
          <w:lang w:eastAsia="ja-JP"/>
        </w:rPr>
        <w:t>the IMT family of systems</w:t>
      </w:r>
      <w:r w:rsidR="00F223CB">
        <w:rPr>
          <w:rFonts w:ascii="Calibri" w:hAnsi="Calibri"/>
          <w:lang w:eastAsia="ja-JP"/>
        </w:rPr>
        <w:t xml:space="preserve"> was progressed massively by</w:t>
      </w:r>
      <w:r w:rsidR="001D3280">
        <w:rPr>
          <w:rFonts w:ascii="Calibri" w:hAnsi="Calibri"/>
          <w:lang w:eastAsia="ja-JP"/>
        </w:rPr>
        <w:t xml:space="preserve"> the ITU – both ITU-R and ITU-T sectors concurrently – towards </w:t>
      </w:r>
      <w:r w:rsidR="00C73954">
        <w:rPr>
          <w:rFonts w:ascii="Calibri" w:hAnsi="Calibri"/>
          <w:lang w:eastAsia="ja-JP"/>
        </w:rPr>
        <w:t>‘</w:t>
      </w:r>
      <w:r w:rsidR="001D3280">
        <w:rPr>
          <w:rFonts w:ascii="Calibri" w:hAnsi="Calibri"/>
          <w:lang w:eastAsia="ja-JP"/>
        </w:rPr>
        <w:t>IMT-2020 and beyond</w:t>
      </w:r>
      <w:r w:rsidR="00C73954">
        <w:rPr>
          <w:rFonts w:ascii="Calibri" w:hAnsi="Calibri"/>
          <w:lang w:eastAsia="ja-JP"/>
        </w:rPr>
        <w:t>’</w:t>
      </w:r>
      <w:r w:rsidR="001D3280">
        <w:rPr>
          <w:rFonts w:ascii="Calibri" w:hAnsi="Calibri"/>
          <w:lang w:eastAsia="ja-JP"/>
        </w:rPr>
        <w:t xml:space="preserve"> (aka 5G) and recently towards </w:t>
      </w:r>
      <w:r w:rsidR="00C73954">
        <w:rPr>
          <w:rFonts w:ascii="Calibri" w:hAnsi="Calibri"/>
          <w:lang w:eastAsia="ja-JP"/>
        </w:rPr>
        <w:t>‘</w:t>
      </w:r>
      <w:r w:rsidR="001D3280">
        <w:rPr>
          <w:rFonts w:ascii="Calibri" w:hAnsi="Calibri"/>
          <w:lang w:eastAsia="ja-JP"/>
        </w:rPr>
        <w:t>IMT-2030 and beyond</w:t>
      </w:r>
      <w:r w:rsidR="00C73954">
        <w:rPr>
          <w:rFonts w:ascii="Calibri" w:hAnsi="Calibri"/>
          <w:lang w:eastAsia="ja-JP"/>
        </w:rPr>
        <w:t>’</w:t>
      </w:r>
      <w:r w:rsidR="001D3280">
        <w:rPr>
          <w:rFonts w:ascii="Calibri" w:hAnsi="Calibri"/>
          <w:lang w:eastAsia="ja-JP"/>
        </w:rPr>
        <w:t xml:space="preserve"> (aka 6G). ITU-R alone has p</w:t>
      </w:r>
      <w:r w:rsidR="00C73954">
        <w:rPr>
          <w:rFonts w:ascii="Calibri" w:hAnsi="Calibri"/>
          <w:lang w:eastAsia="ja-JP"/>
        </w:rPr>
        <w:t>ublished</w:t>
      </w:r>
      <w:r w:rsidR="001D3280">
        <w:rPr>
          <w:rFonts w:ascii="Calibri" w:hAnsi="Calibri"/>
          <w:lang w:eastAsia="ja-JP"/>
        </w:rPr>
        <w:t xml:space="preserve"> substantial documentation on the key performance indicators and functionalities of each of those systems, thus providing a precise picture of their capabilities.</w:t>
      </w:r>
      <w:r w:rsidR="00F223CB" w:rsidRPr="005E16EA">
        <w:rPr>
          <w:rStyle w:val="FootnoteReference"/>
          <w:vertAlign w:val="superscript"/>
          <w:lang w:eastAsia="ja-JP"/>
        </w:rPr>
        <w:footnoteReference w:id="1"/>
      </w:r>
      <w:r w:rsidR="001D3280" w:rsidRPr="005E16EA">
        <w:rPr>
          <w:rFonts w:ascii="Calibri" w:hAnsi="Calibri"/>
          <w:vertAlign w:val="superscript"/>
          <w:lang w:eastAsia="ja-JP"/>
        </w:rPr>
        <w:t xml:space="preserve"> </w:t>
      </w:r>
    </w:p>
    <w:p w14:paraId="33C1B0B8" w14:textId="401F6ED1" w:rsidR="0009385C" w:rsidRDefault="00266884" w:rsidP="00201792">
      <w:pPr>
        <w:pStyle w:val="BodyText"/>
        <w:rPr>
          <w:rFonts w:ascii="Calibri" w:hAnsi="Calibri"/>
          <w:lang w:eastAsia="ja-JP"/>
        </w:rPr>
      </w:pPr>
      <w:r>
        <w:rPr>
          <w:rFonts w:ascii="Calibri" w:hAnsi="Calibri"/>
          <w:lang w:eastAsia="ja-JP"/>
        </w:rPr>
        <w:t xml:space="preserve">The key performance indicators and functionalities appear to be such powerful to cover a large variety of present and emerging requirements of the maritime domain, including those connectivity requirements stemming from broad introduction of the </w:t>
      </w:r>
      <w:r w:rsidR="00C73954">
        <w:rPr>
          <w:rFonts w:ascii="Calibri" w:hAnsi="Calibri"/>
          <w:lang w:eastAsia="ja-JP"/>
        </w:rPr>
        <w:t>‘</w:t>
      </w:r>
      <w:r>
        <w:rPr>
          <w:rFonts w:ascii="Calibri" w:hAnsi="Calibri"/>
          <w:lang w:eastAsia="ja-JP"/>
        </w:rPr>
        <w:t>S-100 world</w:t>
      </w:r>
      <w:r w:rsidR="00C73954">
        <w:rPr>
          <w:rFonts w:ascii="Calibri" w:hAnsi="Calibri"/>
          <w:lang w:eastAsia="ja-JP"/>
        </w:rPr>
        <w:t>’</w:t>
      </w:r>
      <w:r>
        <w:rPr>
          <w:rFonts w:ascii="Calibri" w:hAnsi="Calibri"/>
          <w:lang w:eastAsia="ja-JP"/>
        </w:rPr>
        <w:t xml:space="preserve"> a</w:t>
      </w:r>
      <w:r w:rsidR="00C73954">
        <w:rPr>
          <w:rFonts w:ascii="Calibri" w:hAnsi="Calibri"/>
          <w:lang w:eastAsia="ja-JP"/>
        </w:rPr>
        <w:t>nd of remotely operated</w:t>
      </w:r>
      <w:r w:rsidR="0009385C">
        <w:rPr>
          <w:rFonts w:ascii="Calibri" w:hAnsi="Calibri"/>
          <w:lang w:eastAsia="ja-JP"/>
        </w:rPr>
        <w:t>/</w:t>
      </w:r>
      <w:r>
        <w:rPr>
          <w:rFonts w:ascii="Calibri" w:hAnsi="Calibri"/>
          <w:lang w:eastAsia="ja-JP"/>
        </w:rPr>
        <w:t>autonomous vessels.</w:t>
      </w:r>
      <w:r w:rsidR="005E16EA" w:rsidRPr="005E16EA">
        <w:rPr>
          <w:rStyle w:val="FootnoteReference"/>
          <w:vertAlign w:val="superscript"/>
          <w:lang w:eastAsia="ja-JP"/>
        </w:rPr>
        <w:footnoteReference w:id="2"/>
      </w:r>
      <w:r w:rsidR="0009385C">
        <w:rPr>
          <w:rFonts w:ascii="Calibri" w:hAnsi="Calibri"/>
          <w:lang w:eastAsia="ja-JP"/>
        </w:rPr>
        <w:t xml:space="preserve"> </w:t>
      </w:r>
    </w:p>
    <w:p w14:paraId="03E800BC" w14:textId="3F9B1DB9" w:rsidR="00266884" w:rsidRPr="00EB76A3" w:rsidRDefault="0009385C" w:rsidP="00201792">
      <w:pPr>
        <w:pStyle w:val="BodyText"/>
        <w:rPr>
          <w:rFonts w:ascii="Calibri" w:hAnsi="Calibri"/>
          <w:vertAlign w:val="superscript"/>
          <w:lang w:eastAsia="ja-JP"/>
        </w:rPr>
      </w:pPr>
      <w:r>
        <w:rPr>
          <w:rFonts w:ascii="Calibri" w:hAnsi="Calibri"/>
          <w:lang w:eastAsia="ja-JP"/>
        </w:rPr>
        <w:lastRenderedPageBreak/>
        <w:t>Also, in the context of Cellular-Vehicle-to-Everything (C-V2X),</w:t>
      </w:r>
      <w:r w:rsidR="005E16EA" w:rsidRPr="005E16EA">
        <w:rPr>
          <w:rStyle w:val="FootnoteReference"/>
          <w:vertAlign w:val="superscript"/>
          <w:lang w:eastAsia="ja-JP"/>
        </w:rPr>
        <w:footnoteReference w:id="3"/>
      </w:r>
      <w:r>
        <w:rPr>
          <w:rFonts w:ascii="Calibri" w:hAnsi="Calibri"/>
          <w:lang w:eastAsia="ja-JP"/>
        </w:rPr>
        <w:t xml:space="preserve"> there have been developed direct mode functionalities for high bandwidth direct vehicle-to-vehicle communications without the need or even the presence of an IMT base station; to the extent that AIS-like functionality is implemented in C-V2X by this means.</w:t>
      </w:r>
      <w:r w:rsidR="00EB76A3">
        <w:rPr>
          <w:rStyle w:val="FootnoteReference"/>
          <w:lang w:eastAsia="ja-JP"/>
        </w:rPr>
        <w:footnoteReference w:id="4"/>
      </w:r>
    </w:p>
    <w:p w14:paraId="776755C3" w14:textId="08849F2E" w:rsidR="0009385C" w:rsidRDefault="0009385C" w:rsidP="00201792">
      <w:pPr>
        <w:pStyle w:val="BodyText"/>
        <w:rPr>
          <w:rFonts w:ascii="Calibri" w:hAnsi="Calibri"/>
          <w:lang w:eastAsia="ja-JP"/>
        </w:rPr>
      </w:pPr>
      <w:r>
        <w:rPr>
          <w:rFonts w:ascii="Calibri" w:hAnsi="Calibri"/>
          <w:lang w:eastAsia="ja-JP"/>
        </w:rPr>
        <w:t>Finally, the terrestrial and satellite domains are being more and more merged seamlessly with the progression from IMT-Advanced to IMT-2020 (present technology edge) to IMT-2030 (available in the future from 2030 onwards).</w:t>
      </w:r>
    </w:p>
    <w:p w14:paraId="449538D1" w14:textId="4721758E" w:rsidR="00EB76A3" w:rsidRDefault="00EB76A3" w:rsidP="00EB76A3">
      <w:pPr>
        <w:pStyle w:val="BodyText"/>
        <w:rPr>
          <w:rFonts w:ascii="Calibri" w:hAnsi="Calibri"/>
          <w:lang w:eastAsia="ja-JP"/>
        </w:rPr>
      </w:pPr>
      <w:r w:rsidRPr="00EB76A3">
        <w:rPr>
          <w:rFonts w:ascii="Calibri" w:hAnsi="Calibri"/>
          <w:lang w:eastAsia="ja-JP"/>
        </w:rPr>
        <w:t>Accordingly, the global 3GPP standardisation consortium has scheduled the relevant ‘Releases’ in accordance with the ITU-R defined time frame for IMT-2030</w:t>
      </w:r>
      <w:r>
        <w:rPr>
          <w:rFonts w:ascii="Calibri" w:hAnsi="Calibri"/>
          <w:lang w:eastAsia="ja-JP"/>
        </w:rPr>
        <w:t xml:space="preserve"> (compare Figure 3 of Rec. ITU-R M.2160) – these are meant to be executed rigidly, as was the case with IMT-2020 (compare Fig. 1 of Rec. ITU-R M.2083). According to this schedule, “system deployment” phase for IMT-2030 is starting 2030, while the necessary standardisation will be finalised beforehand in 2029 – this is parallel to the time frame as the introduction of the S-100 world to the shipboard ECDIS, including </w:t>
      </w:r>
      <w:r w:rsidR="00FC0047">
        <w:rPr>
          <w:rFonts w:ascii="Calibri" w:hAnsi="Calibri"/>
          <w:lang w:eastAsia="ja-JP"/>
        </w:rPr>
        <w:t>the S-421 overlay, in accordance with IMO Resolution MSC.530(106)</w:t>
      </w:r>
      <w:r w:rsidR="00FC0047" w:rsidRPr="00FC0047">
        <w:rPr>
          <w:rFonts w:ascii="Calibri" w:hAnsi="Calibri"/>
          <w:b/>
          <w:lang w:eastAsia="ja-JP"/>
        </w:rPr>
        <w:t>Rev1</w:t>
      </w:r>
      <w:r w:rsidR="00FC0047">
        <w:rPr>
          <w:rFonts w:ascii="Calibri" w:hAnsi="Calibri"/>
          <w:lang w:eastAsia="ja-JP"/>
        </w:rPr>
        <w:t xml:space="preserve"> (done at MSC108, 2024).</w:t>
      </w:r>
      <w:r w:rsidR="00FC0047">
        <w:rPr>
          <w:rStyle w:val="FootnoteReference"/>
          <w:lang w:eastAsia="ja-JP"/>
        </w:rPr>
        <w:footnoteReference w:id="5"/>
      </w:r>
      <w:r w:rsidR="00FC0047">
        <w:rPr>
          <w:rFonts w:ascii="Calibri" w:hAnsi="Calibri"/>
          <w:lang w:eastAsia="ja-JP"/>
        </w:rPr>
        <w:t xml:space="preserve"> Hence, urgency of addressing this emerges.</w:t>
      </w:r>
    </w:p>
    <w:p w14:paraId="2762F17D" w14:textId="6F37DDD9" w:rsidR="00266884" w:rsidRDefault="00FC0047" w:rsidP="00201792">
      <w:pPr>
        <w:pStyle w:val="BodyText"/>
        <w:rPr>
          <w:rFonts w:ascii="Calibri" w:hAnsi="Calibri"/>
          <w:lang w:eastAsia="ja-JP"/>
        </w:rPr>
      </w:pPr>
      <w:r>
        <w:rPr>
          <w:rFonts w:ascii="Calibri" w:hAnsi="Calibri"/>
          <w:lang w:eastAsia="ja-JP"/>
        </w:rPr>
        <w:t>T</w:t>
      </w:r>
      <w:r w:rsidR="001D3280">
        <w:rPr>
          <w:rFonts w:ascii="Calibri" w:hAnsi="Calibri"/>
          <w:lang w:eastAsia="ja-JP"/>
        </w:rPr>
        <w:t>he</w:t>
      </w:r>
      <w:r w:rsidR="00266884">
        <w:rPr>
          <w:rFonts w:ascii="Calibri" w:hAnsi="Calibri"/>
          <w:lang w:eastAsia="ja-JP"/>
        </w:rPr>
        <w:t xml:space="preserve"> application of IMT-2020/5G in the maritime domain </w:t>
      </w:r>
      <w:r w:rsidR="0009385C">
        <w:rPr>
          <w:rFonts w:ascii="Calibri" w:hAnsi="Calibri"/>
          <w:lang w:eastAsia="ja-JP"/>
        </w:rPr>
        <w:t xml:space="preserve">was </w:t>
      </w:r>
      <w:r w:rsidR="001D3280">
        <w:rPr>
          <w:rFonts w:ascii="Calibri" w:hAnsi="Calibri"/>
          <w:lang w:eastAsia="ja-JP"/>
        </w:rPr>
        <w:t xml:space="preserve">addressed </w:t>
      </w:r>
      <w:r w:rsidR="0009385C">
        <w:rPr>
          <w:rFonts w:ascii="Calibri" w:hAnsi="Calibri"/>
          <w:lang w:eastAsia="ja-JP"/>
        </w:rPr>
        <w:t xml:space="preserve">already </w:t>
      </w:r>
      <w:r w:rsidR="001D3280">
        <w:rPr>
          <w:rFonts w:ascii="Calibri" w:hAnsi="Calibri"/>
          <w:lang w:eastAsia="ja-JP"/>
        </w:rPr>
        <w:t xml:space="preserve">by presentations </w:t>
      </w:r>
      <w:r>
        <w:rPr>
          <w:rFonts w:ascii="Calibri" w:hAnsi="Calibri"/>
          <w:lang w:eastAsia="ja-JP"/>
        </w:rPr>
        <w:t>at</w:t>
      </w:r>
      <w:r w:rsidR="001D3280">
        <w:rPr>
          <w:rFonts w:ascii="Calibri" w:hAnsi="Calibri"/>
          <w:lang w:eastAsia="ja-JP"/>
        </w:rPr>
        <w:t xml:space="preserve"> the IALA Symposium 2021 and the IALA Conference 2023</w:t>
      </w:r>
      <w:r>
        <w:rPr>
          <w:rFonts w:ascii="Calibri" w:hAnsi="Calibri"/>
          <w:lang w:eastAsia="ja-JP"/>
        </w:rPr>
        <w:t>.</w:t>
      </w:r>
      <w:r w:rsidR="001D3280">
        <w:rPr>
          <w:rFonts w:ascii="Calibri" w:hAnsi="Calibri"/>
          <w:lang w:eastAsia="ja-JP"/>
        </w:rPr>
        <w:t xml:space="preserve"> 3GPP has approached IALA for the identification of use cases and/or requirements respectively</w:t>
      </w:r>
      <w:r w:rsidR="00266884">
        <w:rPr>
          <w:rFonts w:ascii="Calibri" w:hAnsi="Calibri"/>
          <w:lang w:eastAsia="ja-JP"/>
        </w:rPr>
        <w:t xml:space="preserve"> for the ongoing development of IMT-2030/6G</w:t>
      </w:r>
      <w:r w:rsidR="001D3280">
        <w:rPr>
          <w:rFonts w:ascii="Calibri" w:hAnsi="Calibri"/>
          <w:lang w:eastAsia="ja-JP"/>
        </w:rPr>
        <w:t xml:space="preserve">. IALA DTEC Committee has established an IMT Task Group on this topic as part of its Working Group 2 – Emerging Technologies. </w:t>
      </w:r>
    </w:p>
    <w:p w14:paraId="550705DF" w14:textId="1FB4C60A" w:rsidR="00201792" w:rsidRDefault="001D3280" w:rsidP="00201792">
      <w:pPr>
        <w:pStyle w:val="BodyText"/>
        <w:rPr>
          <w:rFonts w:ascii="Calibri" w:hAnsi="Calibri"/>
          <w:lang w:eastAsia="ja-JP"/>
        </w:rPr>
      </w:pPr>
      <w:r>
        <w:rPr>
          <w:rFonts w:ascii="Calibri" w:hAnsi="Calibri"/>
          <w:lang w:eastAsia="ja-JP"/>
        </w:rPr>
        <w:t>During intersessional work of this IMT Task Group</w:t>
      </w:r>
      <w:r w:rsidR="0009385C">
        <w:rPr>
          <w:rFonts w:ascii="Calibri" w:hAnsi="Calibri"/>
          <w:lang w:eastAsia="ja-JP"/>
        </w:rPr>
        <w:t>,</w:t>
      </w:r>
      <w:r>
        <w:rPr>
          <w:rFonts w:ascii="Calibri" w:hAnsi="Calibri"/>
          <w:lang w:eastAsia="ja-JP"/>
        </w:rPr>
        <w:t xml:space="preserve"> i</w:t>
      </w:r>
      <w:r w:rsidR="0009385C">
        <w:rPr>
          <w:rFonts w:ascii="Calibri" w:hAnsi="Calibri"/>
          <w:lang w:eastAsia="ja-JP"/>
        </w:rPr>
        <w:t>t became clear</w:t>
      </w:r>
      <w:r>
        <w:rPr>
          <w:rFonts w:ascii="Calibri" w:hAnsi="Calibri"/>
          <w:lang w:eastAsia="ja-JP"/>
        </w:rPr>
        <w:t xml:space="preserve"> that there is likely no need to develop any new radio component for any application of IMT systems </w:t>
      </w:r>
      <w:r w:rsidR="0009385C">
        <w:rPr>
          <w:rFonts w:ascii="Calibri" w:hAnsi="Calibri"/>
          <w:lang w:eastAsia="ja-JP"/>
        </w:rPr>
        <w:t>to the wet domains (maritime and</w:t>
      </w:r>
      <w:r>
        <w:rPr>
          <w:rFonts w:ascii="Calibri" w:hAnsi="Calibri"/>
          <w:lang w:eastAsia="ja-JP"/>
        </w:rPr>
        <w:t xml:space="preserve"> inland waterways)</w:t>
      </w:r>
      <w:r w:rsidR="0009385C">
        <w:rPr>
          <w:rFonts w:ascii="Calibri" w:hAnsi="Calibri"/>
          <w:lang w:eastAsia="ja-JP"/>
        </w:rPr>
        <w:t>,</w:t>
      </w:r>
      <w:r>
        <w:rPr>
          <w:rFonts w:ascii="Calibri" w:hAnsi="Calibri"/>
          <w:lang w:eastAsia="ja-JP"/>
        </w:rPr>
        <w:t xml:space="preserve"> but rather likely only apply the existing </w:t>
      </w:r>
      <w:r w:rsidR="00877B7E">
        <w:rPr>
          <w:rFonts w:ascii="Calibri" w:hAnsi="Calibri"/>
          <w:lang w:eastAsia="ja-JP"/>
        </w:rPr>
        <w:t>‘</w:t>
      </w:r>
      <w:r>
        <w:rPr>
          <w:rFonts w:ascii="Calibri" w:hAnsi="Calibri"/>
          <w:lang w:eastAsia="ja-JP"/>
        </w:rPr>
        <w:t>features</w:t>
      </w:r>
      <w:r w:rsidR="00877B7E">
        <w:rPr>
          <w:rFonts w:ascii="Calibri" w:hAnsi="Calibri"/>
          <w:lang w:eastAsia="ja-JP"/>
        </w:rPr>
        <w:t>’</w:t>
      </w:r>
      <w:r>
        <w:rPr>
          <w:rFonts w:ascii="Calibri" w:hAnsi="Calibri"/>
          <w:lang w:eastAsia="ja-JP"/>
        </w:rPr>
        <w:t xml:space="preserve"> </w:t>
      </w:r>
      <w:r w:rsidR="0009385C">
        <w:rPr>
          <w:rFonts w:ascii="Calibri" w:hAnsi="Calibri"/>
          <w:lang w:eastAsia="ja-JP"/>
        </w:rPr>
        <w:t>(</w:t>
      </w:r>
      <w:r w:rsidR="00877B7E">
        <w:rPr>
          <w:rFonts w:ascii="Calibri" w:hAnsi="Calibri"/>
          <w:lang w:eastAsia="ja-JP"/>
        </w:rPr>
        <w:t xml:space="preserve">a </w:t>
      </w:r>
      <w:r w:rsidR="0009385C">
        <w:rPr>
          <w:rFonts w:ascii="Calibri" w:hAnsi="Calibri"/>
          <w:lang w:eastAsia="ja-JP"/>
        </w:rPr>
        <w:t xml:space="preserve">technical term </w:t>
      </w:r>
      <w:r w:rsidR="00FC0047">
        <w:rPr>
          <w:rFonts w:ascii="Calibri" w:hAnsi="Calibri"/>
          <w:lang w:eastAsia="ja-JP"/>
        </w:rPr>
        <w:t>of the IMT/3GPP</w:t>
      </w:r>
      <w:r w:rsidR="0009385C">
        <w:rPr>
          <w:rFonts w:ascii="Calibri" w:hAnsi="Calibri"/>
          <w:lang w:eastAsia="ja-JP"/>
        </w:rPr>
        <w:t>)</w:t>
      </w:r>
      <w:r>
        <w:rPr>
          <w:rFonts w:ascii="Calibri" w:hAnsi="Calibri"/>
          <w:lang w:eastAsia="ja-JP"/>
        </w:rPr>
        <w:t xml:space="preserve"> developed due to the requirements of other stakeholder domains (called </w:t>
      </w:r>
      <w:r w:rsidR="00877B7E">
        <w:rPr>
          <w:rFonts w:ascii="Calibri" w:hAnsi="Calibri"/>
          <w:lang w:eastAsia="ja-JP"/>
        </w:rPr>
        <w:t>‘</w:t>
      </w:r>
      <w:r>
        <w:rPr>
          <w:rFonts w:ascii="Calibri" w:hAnsi="Calibri"/>
          <w:lang w:eastAsia="ja-JP"/>
        </w:rPr>
        <w:t>verticals</w:t>
      </w:r>
      <w:r w:rsidR="00877B7E">
        <w:rPr>
          <w:rFonts w:ascii="Calibri" w:hAnsi="Calibri"/>
          <w:lang w:eastAsia="ja-JP"/>
        </w:rPr>
        <w:t>’</w:t>
      </w:r>
      <w:r w:rsidR="001F3F29">
        <w:rPr>
          <w:rFonts w:ascii="Calibri" w:hAnsi="Calibri"/>
          <w:lang w:eastAsia="ja-JP"/>
        </w:rPr>
        <w:t xml:space="preserve"> at IMT/3GPP</w:t>
      </w:r>
      <w:r>
        <w:rPr>
          <w:rFonts w:ascii="Calibri" w:hAnsi="Calibri"/>
          <w:lang w:eastAsia="ja-JP"/>
        </w:rPr>
        <w:t>)</w:t>
      </w:r>
      <w:r w:rsidR="00266884">
        <w:rPr>
          <w:rFonts w:ascii="Calibri" w:hAnsi="Calibri"/>
          <w:lang w:eastAsia="ja-JP"/>
        </w:rPr>
        <w:t xml:space="preserve">. </w:t>
      </w:r>
      <w:r w:rsidR="0009385C">
        <w:rPr>
          <w:rFonts w:ascii="Calibri" w:hAnsi="Calibri"/>
          <w:lang w:eastAsia="ja-JP"/>
        </w:rPr>
        <w:t xml:space="preserve">Again, there is a </w:t>
      </w:r>
      <w:r w:rsidR="00877B7E">
        <w:rPr>
          <w:rFonts w:ascii="Calibri" w:hAnsi="Calibri"/>
          <w:lang w:eastAsia="ja-JP"/>
        </w:rPr>
        <w:t>substantial</w:t>
      </w:r>
      <w:r w:rsidR="0009385C">
        <w:rPr>
          <w:rFonts w:ascii="Calibri" w:hAnsi="Calibri"/>
          <w:lang w:eastAsia="ja-JP"/>
        </w:rPr>
        <w:t xml:space="preserve"> documentation of ITU-R demonstrating this point</w:t>
      </w:r>
      <w:r w:rsidR="00877B7E">
        <w:rPr>
          <w:rFonts w:ascii="Calibri" w:hAnsi="Calibri"/>
          <w:lang w:eastAsia="ja-JP"/>
        </w:rPr>
        <w:t xml:space="preserve"> with unprecedented precision content-wise</w:t>
      </w:r>
      <w:r w:rsidR="00FC0047">
        <w:rPr>
          <w:rFonts w:ascii="Calibri" w:hAnsi="Calibri"/>
          <w:lang w:eastAsia="ja-JP"/>
        </w:rPr>
        <w:t xml:space="preserve"> (compare Reports ITU-R M.2520 (2022) and ITU-R M.2534 (2023))</w:t>
      </w:r>
      <w:r w:rsidR="0009385C">
        <w:rPr>
          <w:rFonts w:ascii="Calibri" w:hAnsi="Calibri"/>
          <w:lang w:eastAsia="ja-JP"/>
        </w:rPr>
        <w:t xml:space="preserve">. </w:t>
      </w:r>
    </w:p>
    <w:p w14:paraId="6A9A4778" w14:textId="78ADCB11" w:rsidR="00877B7E" w:rsidRDefault="00877B7E" w:rsidP="001E0B09">
      <w:pPr>
        <w:pStyle w:val="BodyText"/>
        <w:rPr>
          <w:rFonts w:asciiTheme="minorHAnsi" w:hAnsiTheme="minorHAnsi" w:cstheme="minorHAnsi"/>
          <w:lang w:eastAsia="ja-JP"/>
        </w:rPr>
      </w:pPr>
      <w:r>
        <w:rPr>
          <w:rFonts w:ascii="Calibri" w:hAnsi="Calibri"/>
          <w:lang w:eastAsia="ja-JP"/>
        </w:rPr>
        <w:t xml:space="preserve">Consequentially, it was concluded that all of this could best be brought to the attention of IALA membership by means of a dedicated workshop </w:t>
      </w:r>
      <w:r w:rsidR="001E0B09">
        <w:rPr>
          <w:rFonts w:ascii="Calibri" w:hAnsi="Calibri"/>
          <w:lang w:eastAsia="ja-JP"/>
        </w:rPr>
        <w:t xml:space="preserve">in 2025 </w:t>
      </w:r>
      <w:r>
        <w:rPr>
          <w:rFonts w:ascii="Calibri" w:hAnsi="Calibri"/>
          <w:lang w:eastAsia="ja-JP"/>
        </w:rPr>
        <w:t>from which also tangible IALA draft documents can be expected to emerge.</w:t>
      </w:r>
      <w:r w:rsidR="00FC0047">
        <w:rPr>
          <w:rFonts w:ascii="Calibri" w:hAnsi="Calibri"/>
          <w:lang w:eastAsia="ja-JP"/>
        </w:rPr>
        <w:t xml:space="preserve"> It is noted that IALA has agreed to hold a “Workshop and Seminar </w:t>
      </w:r>
      <w:r w:rsidR="001E0B09">
        <w:rPr>
          <w:rFonts w:ascii="Calibri" w:hAnsi="Calibri"/>
          <w:lang w:eastAsia="ja-JP"/>
        </w:rPr>
        <w:t xml:space="preserve">on Maritime Radionavigation and Radiocommunication in Digital Era” in 2026 which is much broader in scope. The workshop proposed here to take place in 2025, taking into account the urgency described above and with a topical focus on the application of IMT technologies to the wet domains, can only support the 2026 workshop and seminar by providing deeper insights. </w:t>
      </w:r>
      <w:r w:rsidRPr="001F3F29">
        <w:rPr>
          <w:rFonts w:asciiTheme="minorHAnsi" w:hAnsiTheme="minorHAnsi" w:cstheme="minorHAnsi"/>
          <w:lang w:eastAsia="ja-JP"/>
        </w:rPr>
        <w:t>The proposal of the workshop is attached as annex of this document.</w:t>
      </w:r>
    </w:p>
    <w:p w14:paraId="49D3AD2F" w14:textId="37879D53" w:rsidR="001F3F29" w:rsidRDefault="001F3F29" w:rsidP="002B4566">
      <w:pPr>
        <w:spacing w:before="120" w:after="120"/>
        <w:jc w:val="both"/>
        <w:rPr>
          <w:rFonts w:asciiTheme="minorHAnsi" w:hAnsiTheme="minorHAnsi" w:cstheme="minorHAnsi"/>
          <w:lang w:eastAsia="ja-JP"/>
        </w:rPr>
      </w:pPr>
      <w:r>
        <w:rPr>
          <w:rFonts w:asciiTheme="minorHAnsi" w:hAnsiTheme="minorHAnsi" w:cstheme="minorHAnsi"/>
          <w:lang w:eastAsia="ja-JP"/>
        </w:rPr>
        <w:t>NB</w:t>
      </w:r>
      <w:r w:rsidRPr="00877B7E">
        <w:rPr>
          <w:rFonts w:asciiTheme="minorHAnsi" w:hAnsiTheme="minorHAnsi" w:cstheme="minorHAnsi"/>
          <w:lang w:eastAsia="ja-JP"/>
        </w:rPr>
        <w:t xml:space="preserve">: </w:t>
      </w:r>
      <w:r w:rsidR="00877B7E" w:rsidRPr="00877B7E">
        <w:rPr>
          <w:rFonts w:asciiTheme="minorHAnsi" w:hAnsiTheme="minorHAnsi" w:cstheme="minorHAnsi"/>
          <w:lang w:eastAsia="ja-JP"/>
        </w:rPr>
        <w:t xml:space="preserve">The term ‘wet’ domain </w:t>
      </w:r>
      <w:r w:rsidR="00877B7E">
        <w:rPr>
          <w:rFonts w:asciiTheme="minorHAnsi" w:hAnsiTheme="minorHAnsi" w:cstheme="minorHAnsi"/>
          <w:lang w:eastAsia="ja-JP"/>
        </w:rPr>
        <w:t>is</w:t>
      </w:r>
      <w:r w:rsidR="00877B7E" w:rsidRPr="00877B7E">
        <w:rPr>
          <w:rFonts w:asciiTheme="minorHAnsi" w:hAnsiTheme="minorHAnsi" w:cstheme="minorHAnsi"/>
          <w:lang w:eastAsia="ja-JP"/>
        </w:rPr>
        <w:t xml:space="preserve"> used to juxtapose both maritime and inland waterways domains with relevant land-based </w:t>
      </w:r>
      <w:r w:rsidR="00877B7E">
        <w:rPr>
          <w:rFonts w:asciiTheme="minorHAnsi" w:hAnsiTheme="minorHAnsi" w:cstheme="minorHAnsi"/>
          <w:lang w:eastAsia="ja-JP"/>
        </w:rPr>
        <w:t xml:space="preserve">i.e. ‘dry’ domains </w:t>
      </w:r>
      <w:r w:rsidR="00877B7E" w:rsidRPr="00877B7E">
        <w:rPr>
          <w:rFonts w:asciiTheme="minorHAnsi" w:hAnsiTheme="minorHAnsi" w:cstheme="minorHAnsi"/>
          <w:lang w:eastAsia="ja-JP"/>
        </w:rPr>
        <w:t>of IMT</w:t>
      </w:r>
      <w:r w:rsidR="00877B7E">
        <w:rPr>
          <w:rFonts w:asciiTheme="minorHAnsi" w:hAnsiTheme="minorHAnsi" w:cstheme="minorHAnsi"/>
          <w:lang w:eastAsia="ja-JP"/>
        </w:rPr>
        <w:t xml:space="preserve"> applications such as ITS/automotive or rail</w:t>
      </w:r>
      <w:r w:rsidR="00877B7E" w:rsidRPr="00877B7E">
        <w:rPr>
          <w:rFonts w:asciiTheme="minorHAnsi" w:hAnsiTheme="minorHAnsi" w:cstheme="minorHAnsi"/>
          <w:lang w:eastAsia="ja-JP"/>
        </w:rPr>
        <w:t xml:space="preserve">. </w:t>
      </w:r>
      <w:r w:rsidRPr="00877B7E">
        <w:rPr>
          <w:rFonts w:asciiTheme="minorHAnsi" w:hAnsiTheme="minorHAnsi" w:cstheme="minorHAnsi"/>
          <w:lang w:eastAsia="ja-JP"/>
        </w:rPr>
        <w:t xml:space="preserve"> </w:t>
      </w:r>
      <w:r w:rsidR="00877B7E">
        <w:rPr>
          <w:rFonts w:asciiTheme="minorHAnsi" w:hAnsiTheme="minorHAnsi" w:cstheme="minorHAnsi"/>
          <w:lang w:eastAsia="ja-JP"/>
        </w:rPr>
        <w:t xml:space="preserve">Strictly speaking, IALA focusses on marine </w:t>
      </w:r>
      <w:proofErr w:type="spellStart"/>
      <w:r w:rsidR="00877B7E">
        <w:rPr>
          <w:rFonts w:asciiTheme="minorHAnsi" w:hAnsiTheme="minorHAnsi" w:cstheme="minorHAnsi"/>
          <w:lang w:eastAsia="ja-JP"/>
        </w:rPr>
        <w:t>AtoNs</w:t>
      </w:r>
      <w:proofErr w:type="spellEnd"/>
      <w:r w:rsidR="00877B7E">
        <w:rPr>
          <w:rFonts w:asciiTheme="minorHAnsi" w:hAnsiTheme="minorHAnsi" w:cstheme="minorHAnsi"/>
          <w:lang w:eastAsia="ja-JP"/>
        </w:rPr>
        <w:t xml:space="preserve">. However, there are globally many countries where maritime traffic subject to IMO rules takes place in waterways inland of the baselines </w:t>
      </w:r>
      <w:r w:rsidR="00877B7E" w:rsidRPr="00877B7E">
        <w:rPr>
          <w:rFonts w:asciiTheme="minorHAnsi" w:hAnsiTheme="minorHAnsi" w:cstheme="minorHAnsi"/>
          <w:lang w:eastAsia="ja-JP"/>
        </w:rPr>
        <w:t>defined by</w:t>
      </w:r>
      <w:r w:rsidRPr="00877B7E">
        <w:rPr>
          <w:rFonts w:asciiTheme="minorHAnsi" w:hAnsiTheme="minorHAnsi" w:cstheme="minorHAnsi"/>
          <w:lang w:eastAsia="ja-JP"/>
        </w:rPr>
        <w:t xml:space="preserve"> UNCLOS</w:t>
      </w:r>
      <w:r w:rsidR="00877B7E" w:rsidRPr="00877B7E">
        <w:rPr>
          <w:rFonts w:asciiTheme="minorHAnsi" w:hAnsiTheme="minorHAnsi" w:cstheme="minorHAnsi"/>
          <w:lang w:eastAsia="ja-JP"/>
        </w:rPr>
        <w:t>, such as in estu</w:t>
      </w:r>
      <w:r w:rsidR="00877B7E">
        <w:rPr>
          <w:rFonts w:asciiTheme="minorHAnsi" w:hAnsiTheme="minorHAnsi" w:cstheme="minorHAnsi"/>
          <w:lang w:eastAsia="ja-JP"/>
        </w:rPr>
        <w:t>a</w:t>
      </w:r>
      <w:r w:rsidR="00877B7E" w:rsidRPr="00877B7E">
        <w:rPr>
          <w:rFonts w:asciiTheme="minorHAnsi" w:hAnsiTheme="minorHAnsi" w:cstheme="minorHAnsi"/>
          <w:lang w:eastAsia="ja-JP"/>
        </w:rPr>
        <w:t xml:space="preserve">ry approaches to </w:t>
      </w:r>
      <w:proofErr w:type="gramStart"/>
      <w:r w:rsidR="00877B7E" w:rsidRPr="00877B7E">
        <w:rPr>
          <w:rFonts w:asciiTheme="minorHAnsi" w:hAnsiTheme="minorHAnsi" w:cstheme="minorHAnsi"/>
          <w:lang w:eastAsia="ja-JP"/>
        </w:rPr>
        <w:t>sea ports</w:t>
      </w:r>
      <w:proofErr w:type="gramEnd"/>
      <w:r w:rsidR="001E0B09">
        <w:rPr>
          <w:rFonts w:asciiTheme="minorHAnsi" w:hAnsiTheme="minorHAnsi" w:cstheme="minorHAnsi"/>
          <w:lang w:eastAsia="ja-JP"/>
        </w:rPr>
        <w:t>,</w:t>
      </w:r>
      <w:r w:rsidR="00877B7E" w:rsidRPr="00877B7E">
        <w:rPr>
          <w:rFonts w:asciiTheme="minorHAnsi" w:hAnsiTheme="minorHAnsi" w:cstheme="minorHAnsi"/>
          <w:lang w:eastAsia="ja-JP"/>
        </w:rPr>
        <w:t xml:space="preserve"> or in sea canals. </w:t>
      </w:r>
      <w:r w:rsidR="00877B7E">
        <w:rPr>
          <w:rFonts w:asciiTheme="minorHAnsi" w:hAnsiTheme="minorHAnsi" w:cstheme="minorHAnsi"/>
          <w:lang w:eastAsia="ja-JP"/>
        </w:rPr>
        <w:t>S</w:t>
      </w:r>
      <w:r w:rsidRPr="00877B7E">
        <w:rPr>
          <w:rFonts w:asciiTheme="minorHAnsi" w:hAnsiTheme="minorHAnsi" w:cstheme="minorHAnsi"/>
          <w:lang w:eastAsia="ja-JP"/>
        </w:rPr>
        <w:t>everal administrations responsible</w:t>
      </w:r>
      <w:r>
        <w:rPr>
          <w:rFonts w:asciiTheme="minorHAnsi" w:hAnsiTheme="minorHAnsi" w:cstheme="minorHAnsi"/>
          <w:lang w:eastAsia="ja-JP"/>
        </w:rPr>
        <w:t xml:space="preserve"> for marine </w:t>
      </w:r>
      <w:proofErr w:type="spellStart"/>
      <w:r>
        <w:rPr>
          <w:rFonts w:asciiTheme="minorHAnsi" w:hAnsiTheme="minorHAnsi" w:cstheme="minorHAnsi"/>
          <w:lang w:eastAsia="ja-JP"/>
        </w:rPr>
        <w:t>AtoNs</w:t>
      </w:r>
      <w:proofErr w:type="spellEnd"/>
      <w:r>
        <w:rPr>
          <w:rFonts w:asciiTheme="minorHAnsi" w:hAnsiTheme="minorHAnsi" w:cstheme="minorHAnsi"/>
          <w:lang w:eastAsia="ja-JP"/>
        </w:rPr>
        <w:t xml:space="preserve"> are also responsible for inland waterways,</w:t>
      </w:r>
      <w:r w:rsidR="00877B7E">
        <w:rPr>
          <w:rFonts w:asciiTheme="minorHAnsi" w:hAnsiTheme="minorHAnsi" w:cstheme="minorHAnsi"/>
          <w:lang w:eastAsia="ja-JP"/>
        </w:rPr>
        <w:t xml:space="preserve"> proper, i.e. not subject to IMO rules,</w:t>
      </w:r>
      <w:r>
        <w:rPr>
          <w:rFonts w:asciiTheme="minorHAnsi" w:hAnsiTheme="minorHAnsi" w:cstheme="minorHAnsi"/>
          <w:lang w:eastAsia="ja-JP"/>
        </w:rPr>
        <w:t xml:space="preserve"> and </w:t>
      </w:r>
      <w:r w:rsidR="00C73954">
        <w:rPr>
          <w:rFonts w:asciiTheme="minorHAnsi" w:hAnsiTheme="minorHAnsi" w:cstheme="minorHAnsi"/>
          <w:lang w:eastAsia="ja-JP"/>
        </w:rPr>
        <w:t xml:space="preserve">IALA over the years has maintained good relations with organisations like PIANC that consider both wet domains. </w:t>
      </w:r>
      <w:r>
        <w:rPr>
          <w:rFonts w:asciiTheme="minorHAnsi" w:hAnsiTheme="minorHAnsi" w:cstheme="minorHAnsi"/>
          <w:lang w:eastAsia="ja-JP"/>
        </w:rPr>
        <w:t xml:space="preserve"> </w:t>
      </w:r>
      <w:r w:rsidR="00C73954">
        <w:rPr>
          <w:rFonts w:asciiTheme="minorHAnsi" w:hAnsiTheme="minorHAnsi" w:cstheme="minorHAnsi"/>
          <w:lang w:eastAsia="ja-JP"/>
        </w:rPr>
        <w:t>S</w:t>
      </w:r>
      <w:r>
        <w:rPr>
          <w:rFonts w:asciiTheme="minorHAnsi" w:hAnsiTheme="minorHAnsi" w:cstheme="minorHAnsi"/>
          <w:lang w:eastAsia="ja-JP"/>
        </w:rPr>
        <w:t xml:space="preserve">eamless technology applications appears to be desirable for </w:t>
      </w:r>
      <w:r w:rsidR="00877B7E">
        <w:rPr>
          <w:rFonts w:asciiTheme="minorHAnsi" w:hAnsiTheme="minorHAnsi" w:cstheme="minorHAnsi"/>
          <w:lang w:eastAsia="ja-JP"/>
        </w:rPr>
        <w:t>areas of mixed traffic and for economy of deployment. A similar logic is operative in the S-100 world with</w:t>
      </w:r>
      <w:r w:rsidR="00C73954">
        <w:rPr>
          <w:rFonts w:asciiTheme="minorHAnsi" w:hAnsiTheme="minorHAnsi" w:cstheme="minorHAnsi"/>
          <w:lang w:eastAsia="ja-JP"/>
        </w:rPr>
        <w:t xml:space="preserve"> the recognition of the need for </w:t>
      </w:r>
      <w:r w:rsidR="00877B7E">
        <w:rPr>
          <w:rFonts w:asciiTheme="minorHAnsi" w:hAnsiTheme="minorHAnsi" w:cstheme="minorHAnsi"/>
          <w:lang w:eastAsia="ja-JP"/>
        </w:rPr>
        <w:t xml:space="preserve">S-401/S-402 </w:t>
      </w:r>
      <w:r w:rsidR="001E0B09">
        <w:rPr>
          <w:rFonts w:asciiTheme="minorHAnsi" w:hAnsiTheme="minorHAnsi" w:cstheme="minorHAnsi"/>
          <w:lang w:eastAsia="ja-JP"/>
        </w:rPr>
        <w:t xml:space="preserve">corresponding with S-101/S-102 </w:t>
      </w:r>
      <w:r w:rsidR="00877B7E">
        <w:rPr>
          <w:rFonts w:asciiTheme="minorHAnsi" w:hAnsiTheme="minorHAnsi" w:cstheme="minorHAnsi"/>
          <w:lang w:eastAsia="ja-JP"/>
        </w:rPr>
        <w:t xml:space="preserve">for inland waterways proper. </w:t>
      </w:r>
      <w:r w:rsidR="00C73954">
        <w:rPr>
          <w:rFonts w:asciiTheme="minorHAnsi" w:hAnsiTheme="minorHAnsi" w:cstheme="minorHAnsi"/>
          <w:lang w:eastAsia="ja-JP"/>
        </w:rPr>
        <w:t>The</w:t>
      </w:r>
      <w:r w:rsidR="00877B7E">
        <w:rPr>
          <w:rFonts w:asciiTheme="minorHAnsi" w:hAnsiTheme="minorHAnsi" w:cstheme="minorHAnsi"/>
          <w:lang w:eastAsia="ja-JP"/>
        </w:rPr>
        <w:t xml:space="preserve"> IMT systems family is applicable to both wet domains likewise and seamlessly, hence mentioned here this way.</w:t>
      </w:r>
    </w:p>
    <w:p w14:paraId="1EE2DC23" w14:textId="0056CC2C" w:rsidR="006358E7" w:rsidRPr="007A395D" w:rsidRDefault="006358E7" w:rsidP="006358E7">
      <w:pPr>
        <w:pStyle w:val="Heading1"/>
      </w:pPr>
      <w:r>
        <w:rPr>
          <w:rFonts w:hint="eastAsia"/>
          <w:lang w:eastAsia="ja-JP"/>
        </w:rPr>
        <w:lastRenderedPageBreak/>
        <w:t>A</w:t>
      </w:r>
      <w:r>
        <w:rPr>
          <w:lang w:eastAsia="ja-JP"/>
        </w:rPr>
        <w:t>ction requested to the Committee</w:t>
      </w:r>
    </w:p>
    <w:p w14:paraId="227F8C0C" w14:textId="61C538C9" w:rsidR="006358E7" w:rsidRDefault="006358E7" w:rsidP="002B4566">
      <w:pPr>
        <w:spacing w:before="120" w:after="120"/>
        <w:jc w:val="both"/>
        <w:rPr>
          <w:rFonts w:asciiTheme="minorHAnsi" w:hAnsiTheme="minorHAnsi" w:cstheme="minorHAnsi"/>
          <w:lang w:eastAsia="ja-JP"/>
        </w:rPr>
      </w:pPr>
      <w:r>
        <w:rPr>
          <w:rFonts w:asciiTheme="minorHAnsi" w:hAnsiTheme="minorHAnsi" w:cstheme="minorHAnsi" w:hint="eastAsia"/>
          <w:lang w:eastAsia="ja-JP"/>
        </w:rPr>
        <w:t>T</w:t>
      </w:r>
      <w:r>
        <w:rPr>
          <w:rFonts w:asciiTheme="minorHAnsi" w:hAnsiTheme="minorHAnsi" w:cstheme="minorHAnsi"/>
          <w:lang w:eastAsia="ja-JP"/>
        </w:rPr>
        <w:t xml:space="preserve">he Committee is requested to </w:t>
      </w:r>
      <w:r w:rsidR="005D4A4C">
        <w:rPr>
          <w:rFonts w:asciiTheme="minorHAnsi" w:hAnsiTheme="minorHAnsi" w:cstheme="minorHAnsi"/>
          <w:lang w:eastAsia="ja-JP"/>
        </w:rPr>
        <w:t>consider the proposal and act as appropriate.</w:t>
      </w:r>
    </w:p>
    <w:p w14:paraId="22894C27" w14:textId="77777777" w:rsidR="005D4A4C" w:rsidRDefault="005D4A4C" w:rsidP="002B4566">
      <w:pPr>
        <w:spacing w:before="120" w:after="120"/>
        <w:jc w:val="both"/>
        <w:rPr>
          <w:rFonts w:asciiTheme="minorHAnsi" w:hAnsiTheme="minorHAnsi" w:cstheme="minorHAnsi"/>
          <w:lang w:eastAsia="ja-JP"/>
        </w:rPr>
      </w:pPr>
    </w:p>
    <w:p w14:paraId="23A53F70" w14:textId="77777777" w:rsidR="00EE29FD" w:rsidRDefault="00EE29FD" w:rsidP="002B4566">
      <w:pPr>
        <w:spacing w:before="120" w:after="120"/>
        <w:jc w:val="both"/>
        <w:rPr>
          <w:rFonts w:asciiTheme="minorHAnsi" w:hAnsiTheme="minorHAnsi" w:cstheme="minorHAnsi"/>
          <w:lang w:eastAsia="ja-JP"/>
        </w:rPr>
        <w:sectPr w:rsidR="00EE29FD" w:rsidSect="00D94F18">
          <w:headerReference w:type="even" r:id="rId11"/>
          <w:headerReference w:type="default" r:id="rId12"/>
          <w:footerReference w:type="default" r:id="rId13"/>
          <w:headerReference w:type="first" r:id="rId14"/>
          <w:pgSz w:w="11906" w:h="16838"/>
          <w:pgMar w:top="1134" w:right="1134" w:bottom="1134" w:left="1134" w:header="709" w:footer="709" w:gutter="0"/>
          <w:pgNumType w:start="1"/>
          <w:cols w:space="708"/>
          <w:docGrid w:linePitch="360"/>
        </w:sectPr>
      </w:pPr>
    </w:p>
    <w:p w14:paraId="62E23A4A" w14:textId="77777777" w:rsidR="005D4A4C" w:rsidRDefault="005D4A4C" w:rsidP="002B4566">
      <w:pPr>
        <w:spacing w:before="120" w:after="120"/>
        <w:jc w:val="both"/>
        <w:rPr>
          <w:rFonts w:asciiTheme="minorHAnsi" w:hAnsiTheme="minorHAnsi" w:cstheme="minorHAnsi"/>
          <w:lang w:eastAsia="ja-JP"/>
        </w:rPr>
      </w:pPr>
    </w:p>
    <w:p w14:paraId="78005482" w14:textId="08EF1FEF" w:rsidR="00EE29FD" w:rsidRPr="000E38F0" w:rsidRDefault="00EE29FD" w:rsidP="00EE29FD">
      <w:pPr>
        <w:spacing w:after="120"/>
        <w:jc w:val="center"/>
        <w:rPr>
          <w:b/>
          <w:smallCaps/>
          <w:sz w:val="28"/>
          <w:u w:val="single"/>
        </w:rPr>
      </w:pPr>
      <w:r w:rsidRPr="000E38F0">
        <w:rPr>
          <w:b/>
          <w:smallCaps/>
          <w:sz w:val="28"/>
          <w:u w:val="single"/>
        </w:rPr>
        <w:t>Workshop Proposal</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96"/>
      </w:tblGrid>
      <w:tr w:rsidR="00EE29FD" w:rsidRPr="000E38F0" w14:paraId="10E70337" w14:textId="77777777" w:rsidTr="00B9653F">
        <w:trPr>
          <w:trHeight w:val="454"/>
        </w:trPr>
        <w:tc>
          <w:tcPr>
            <w:tcW w:w="1951" w:type="dxa"/>
            <w:vAlign w:val="center"/>
          </w:tcPr>
          <w:p w14:paraId="3FB6F65D" w14:textId="77777777" w:rsidR="00EE29FD" w:rsidRPr="000E38F0" w:rsidRDefault="00EE29FD" w:rsidP="00B9653F">
            <w:pPr>
              <w:ind w:right="-108"/>
              <w:jc w:val="center"/>
              <w:rPr>
                <w:b/>
                <w:smallCaps/>
                <w:sz w:val="28"/>
              </w:rPr>
            </w:pPr>
            <w:r w:rsidRPr="000E38F0">
              <w:rPr>
                <w:b/>
                <w:smallCaps/>
                <w:sz w:val="28"/>
              </w:rPr>
              <w:t>Vision</w:t>
            </w:r>
          </w:p>
        </w:tc>
        <w:tc>
          <w:tcPr>
            <w:tcW w:w="7796" w:type="dxa"/>
            <w:vAlign w:val="center"/>
          </w:tcPr>
          <w:p w14:paraId="6916206E" w14:textId="13154C91" w:rsidR="00EE29FD" w:rsidRPr="003B55CE" w:rsidRDefault="00FC3A18" w:rsidP="00FC3A18">
            <w:pPr>
              <w:rPr>
                <w:rFonts w:eastAsia="MS Mincho"/>
                <w:b/>
                <w:bCs/>
                <w:smallCaps/>
                <w:sz w:val="24"/>
                <w:lang w:eastAsia="ja-JP"/>
              </w:rPr>
            </w:pPr>
            <w:r w:rsidRPr="00FC3A18">
              <w:rPr>
                <w:rFonts w:eastAsia="MS Mincho"/>
                <w:b/>
                <w:bCs/>
                <w:smallCaps/>
                <w:sz w:val="24"/>
                <w:lang w:eastAsia="ja-JP"/>
              </w:rPr>
              <w:t xml:space="preserve">International Mobile Telecommunication (IMT) for Marine </w:t>
            </w:r>
            <w:proofErr w:type="spellStart"/>
            <w:r w:rsidRPr="00FC3A18">
              <w:rPr>
                <w:rFonts w:eastAsia="MS Mincho"/>
                <w:b/>
                <w:bCs/>
                <w:smallCaps/>
                <w:sz w:val="24"/>
                <w:lang w:eastAsia="ja-JP"/>
              </w:rPr>
              <w:t>AtoNs</w:t>
            </w:r>
            <w:proofErr w:type="spellEnd"/>
            <w:r>
              <w:rPr>
                <w:rFonts w:eastAsia="MS Mincho"/>
                <w:b/>
                <w:bCs/>
                <w:smallCaps/>
                <w:sz w:val="24"/>
                <w:lang w:eastAsia="ja-JP"/>
              </w:rPr>
              <w:t xml:space="preserve"> </w:t>
            </w:r>
          </w:p>
        </w:tc>
      </w:tr>
      <w:tr w:rsidR="00EE29FD" w:rsidRPr="000E38F0" w14:paraId="1D0B44E7" w14:textId="77777777" w:rsidTr="00B9653F">
        <w:trPr>
          <w:trHeight w:val="454"/>
        </w:trPr>
        <w:tc>
          <w:tcPr>
            <w:tcW w:w="1951" w:type="dxa"/>
            <w:vAlign w:val="center"/>
          </w:tcPr>
          <w:p w14:paraId="09731400" w14:textId="77777777" w:rsidR="00EE29FD" w:rsidRPr="000E38F0" w:rsidRDefault="00EE29FD" w:rsidP="00B9653F">
            <w:pPr>
              <w:numPr>
                <w:ilvl w:val="12"/>
                <w:numId w:val="0"/>
              </w:numPr>
              <w:ind w:right="-108"/>
              <w:jc w:val="center"/>
              <w:rPr>
                <w:b/>
                <w:smallCaps/>
                <w:sz w:val="28"/>
              </w:rPr>
            </w:pPr>
            <w:r w:rsidRPr="000E38F0">
              <w:rPr>
                <w:b/>
                <w:smallCaps/>
                <w:sz w:val="28"/>
              </w:rPr>
              <w:t>Proposal</w:t>
            </w:r>
          </w:p>
        </w:tc>
        <w:tc>
          <w:tcPr>
            <w:tcW w:w="7796" w:type="dxa"/>
            <w:vAlign w:val="center"/>
          </w:tcPr>
          <w:p w14:paraId="1ED2EE43" w14:textId="56E892AD" w:rsidR="00EE29FD" w:rsidRPr="0002485D" w:rsidRDefault="00EE29FD" w:rsidP="00B9653F">
            <w:pPr>
              <w:numPr>
                <w:ilvl w:val="12"/>
                <w:numId w:val="0"/>
              </w:numPr>
              <w:rPr>
                <w:smallCaps/>
                <w:sz w:val="24"/>
              </w:rPr>
            </w:pPr>
            <w:r>
              <w:rPr>
                <w:smallCaps/>
                <w:sz w:val="24"/>
              </w:rPr>
              <w:t>Workshop on development of guidance to IALA members for their consideration of future plan</w:t>
            </w:r>
          </w:p>
        </w:tc>
      </w:tr>
      <w:tr w:rsidR="00EE29FD" w:rsidRPr="00144882" w14:paraId="6C4EEF04" w14:textId="77777777" w:rsidTr="00B9653F">
        <w:trPr>
          <w:trHeight w:val="454"/>
        </w:trPr>
        <w:tc>
          <w:tcPr>
            <w:tcW w:w="1951" w:type="dxa"/>
            <w:vAlign w:val="center"/>
          </w:tcPr>
          <w:p w14:paraId="545F0D1C" w14:textId="77777777" w:rsidR="00EE29FD" w:rsidRPr="000E38F0" w:rsidRDefault="00EE29FD" w:rsidP="00B9653F">
            <w:pPr>
              <w:numPr>
                <w:ilvl w:val="12"/>
                <w:numId w:val="0"/>
              </w:numPr>
              <w:ind w:right="-108"/>
              <w:jc w:val="center"/>
              <w:rPr>
                <w:b/>
                <w:smallCaps/>
                <w:sz w:val="28"/>
              </w:rPr>
            </w:pPr>
            <w:r w:rsidRPr="000E38F0">
              <w:rPr>
                <w:b/>
                <w:smallCaps/>
                <w:sz w:val="28"/>
              </w:rPr>
              <w:t>Purpose</w:t>
            </w:r>
            <w:r>
              <w:rPr>
                <w:b/>
                <w:smallCaps/>
                <w:sz w:val="28"/>
              </w:rPr>
              <w:t>(s)</w:t>
            </w:r>
          </w:p>
        </w:tc>
        <w:tc>
          <w:tcPr>
            <w:tcW w:w="7796" w:type="dxa"/>
            <w:vAlign w:val="center"/>
          </w:tcPr>
          <w:p w14:paraId="5D86D80B" w14:textId="1317AF05" w:rsidR="00EE29FD" w:rsidRPr="00B9406D" w:rsidRDefault="00B9406D" w:rsidP="00EE29FD">
            <w:pPr>
              <w:pStyle w:val="List1"/>
              <w:numPr>
                <w:ilvl w:val="0"/>
                <w:numId w:val="16"/>
              </w:numPr>
            </w:pPr>
            <w:r w:rsidRPr="00B9406D">
              <w:t>To inform on relevant developments in the IMT system family, in particular regarding the present IMT-Advanced (4G/LTE), IMT-2020 (5G) and the emerging IMT-2030 (6G) technologies</w:t>
            </w:r>
          </w:p>
          <w:p w14:paraId="191AF4EA" w14:textId="3A6690D5" w:rsidR="00EE29FD" w:rsidRPr="00B9406D" w:rsidRDefault="00EE29FD" w:rsidP="00EE29FD">
            <w:pPr>
              <w:pStyle w:val="List1"/>
              <w:numPr>
                <w:ilvl w:val="0"/>
                <w:numId w:val="16"/>
              </w:numPr>
            </w:pPr>
            <w:r w:rsidRPr="00B9406D">
              <w:rPr>
                <w:rFonts w:hint="eastAsia"/>
              </w:rPr>
              <w:t>T</w:t>
            </w:r>
            <w:r w:rsidRPr="00B9406D">
              <w:t xml:space="preserve">o identify </w:t>
            </w:r>
            <w:r w:rsidR="00B9406D" w:rsidRPr="00B9406D">
              <w:t>adaptable ‘features’ of the IMT system family</w:t>
            </w:r>
            <w:r w:rsidRPr="00B9406D">
              <w:t xml:space="preserve"> </w:t>
            </w:r>
            <w:r w:rsidR="00B9406D" w:rsidRPr="00B9406D">
              <w:t>to marine AtoN domain</w:t>
            </w:r>
          </w:p>
          <w:p w14:paraId="3A328375" w14:textId="7C5C33A6" w:rsidR="00EE29FD" w:rsidRPr="00B9406D" w:rsidRDefault="00EE29FD" w:rsidP="00EE29FD">
            <w:pPr>
              <w:pStyle w:val="List1"/>
              <w:numPr>
                <w:ilvl w:val="0"/>
                <w:numId w:val="16"/>
              </w:numPr>
            </w:pPr>
            <w:r w:rsidRPr="00B9406D">
              <w:rPr>
                <w:rFonts w:hint="eastAsia"/>
              </w:rPr>
              <w:t xml:space="preserve">To </w:t>
            </w:r>
            <w:r w:rsidRPr="00B9406D">
              <w:t xml:space="preserve">identify technical, regulatory and operational challenges </w:t>
            </w:r>
            <w:r w:rsidR="00B9406D" w:rsidRPr="00B9406D">
              <w:t>when applying IMT system family to marine AtoN domain</w:t>
            </w:r>
          </w:p>
          <w:p w14:paraId="32150AE0" w14:textId="30B6AE19" w:rsidR="00EE29FD" w:rsidRPr="00B9406D" w:rsidRDefault="00EE29FD" w:rsidP="00B9406D">
            <w:pPr>
              <w:pStyle w:val="List1"/>
              <w:numPr>
                <w:ilvl w:val="0"/>
                <w:numId w:val="16"/>
              </w:numPr>
            </w:pPr>
            <w:r w:rsidRPr="00B9406D">
              <w:rPr>
                <w:rFonts w:hint="eastAsia"/>
              </w:rPr>
              <w:t>T</w:t>
            </w:r>
            <w:r w:rsidRPr="00B9406D">
              <w:t xml:space="preserve">o </w:t>
            </w:r>
            <w:r w:rsidR="00B9406D" w:rsidRPr="00B9406D">
              <w:t>consider</w:t>
            </w:r>
            <w:r w:rsidRPr="00B9406D">
              <w:t xml:space="preserve"> IALA</w:t>
            </w:r>
            <w:r w:rsidR="00B9406D" w:rsidRPr="00B9406D">
              <w:t>’s continued</w:t>
            </w:r>
            <w:r w:rsidRPr="00B9406D">
              <w:t xml:space="preserve"> role in </w:t>
            </w:r>
            <w:r w:rsidR="00B9406D" w:rsidRPr="00B9406D">
              <w:t>the application of IMT system family to the marine AtoN domain</w:t>
            </w:r>
          </w:p>
        </w:tc>
      </w:tr>
      <w:tr w:rsidR="00EE29FD" w:rsidRPr="000E38F0" w14:paraId="44A299C9" w14:textId="77777777" w:rsidTr="00B9653F">
        <w:trPr>
          <w:trHeight w:val="454"/>
        </w:trPr>
        <w:tc>
          <w:tcPr>
            <w:tcW w:w="1951" w:type="dxa"/>
            <w:vAlign w:val="center"/>
          </w:tcPr>
          <w:p w14:paraId="2B345CC6" w14:textId="77777777" w:rsidR="00EE29FD" w:rsidRPr="000E38F0" w:rsidRDefault="00EE29FD" w:rsidP="00B9653F">
            <w:pPr>
              <w:numPr>
                <w:ilvl w:val="12"/>
                <w:numId w:val="0"/>
              </w:numPr>
              <w:ind w:right="-108"/>
              <w:jc w:val="center"/>
              <w:rPr>
                <w:b/>
                <w:smallCaps/>
                <w:sz w:val="28"/>
              </w:rPr>
            </w:pPr>
            <w:r w:rsidRPr="000E38F0">
              <w:rPr>
                <w:b/>
                <w:smallCaps/>
                <w:sz w:val="28"/>
              </w:rPr>
              <w:t>Goal</w:t>
            </w:r>
            <w:r>
              <w:rPr>
                <w:b/>
                <w:smallCaps/>
                <w:sz w:val="28"/>
              </w:rPr>
              <w:t>(s)</w:t>
            </w:r>
          </w:p>
        </w:tc>
        <w:tc>
          <w:tcPr>
            <w:tcW w:w="7796" w:type="dxa"/>
            <w:vAlign w:val="center"/>
          </w:tcPr>
          <w:p w14:paraId="537E634B" w14:textId="77777777" w:rsidR="00B9406D" w:rsidRPr="00B9406D" w:rsidRDefault="00B9406D" w:rsidP="00B9406D">
            <w:pPr>
              <w:pStyle w:val="List1"/>
              <w:numPr>
                <w:ilvl w:val="0"/>
                <w:numId w:val="39"/>
              </w:numPr>
            </w:pPr>
            <w:r w:rsidRPr="00B9406D">
              <w:t>Introduction of participants to the IMT system family in general, and regarding IMT-2020 / IMT-2030 in particular, from an application perspective, taking specifically into account relevant application developments in other application domains (“3GPP verticals”) for potential likewise application to the wet domain</w:t>
            </w:r>
          </w:p>
          <w:p w14:paraId="32B41581" w14:textId="77777777" w:rsidR="00B9406D" w:rsidRPr="00B9406D" w:rsidRDefault="00B9406D" w:rsidP="00B9406D">
            <w:pPr>
              <w:pStyle w:val="List1"/>
              <w:numPr>
                <w:ilvl w:val="0"/>
                <w:numId w:val="39"/>
              </w:numPr>
            </w:pPr>
            <w:r w:rsidRPr="00B9406D">
              <w:t xml:space="preserve">Adapt existing “features” of IMT systems as developed by other “verticals” to the domain of Marine </w:t>
            </w:r>
            <w:proofErr w:type="spellStart"/>
            <w:r w:rsidRPr="00B9406D">
              <w:t>AtoNs</w:t>
            </w:r>
            <w:proofErr w:type="spellEnd"/>
          </w:p>
          <w:p w14:paraId="41A9C6DC" w14:textId="77777777" w:rsidR="00B9406D" w:rsidRPr="00B9406D" w:rsidRDefault="00B9406D" w:rsidP="00B9406D">
            <w:pPr>
              <w:pStyle w:val="List1"/>
              <w:numPr>
                <w:ilvl w:val="0"/>
                <w:numId w:val="39"/>
              </w:numPr>
            </w:pPr>
            <w:r w:rsidRPr="00B9406D">
              <w:t xml:space="preserve">Content definition and initial draft of a future “IALA guideline on the application of IMT systems for Marine </w:t>
            </w:r>
            <w:proofErr w:type="spellStart"/>
            <w:r w:rsidRPr="00B9406D">
              <w:t>AtoNs</w:t>
            </w:r>
            <w:proofErr w:type="spellEnd"/>
            <w:r w:rsidRPr="00B9406D">
              <w:t>”</w:t>
            </w:r>
          </w:p>
          <w:p w14:paraId="7D4113D4" w14:textId="0EEA627A" w:rsidR="00EE29FD" w:rsidRPr="00B9406D" w:rsidRDefault="00B9406D" w:rsidP="00B9406D">
            <w:pPr>
              <w:pStyle w:val="List1"/>
              <w:numPr>
                <w:ilvl w:val="0"/>
                <w:numId w:val="39"/>
              </w:numPr>
            </w:pPr>
            <w:r w:rsidRPr="00B9406D">
              <w:t xml:space="preserve">Consideration of setting up of an initiative group (MRP) for the maritime </w:t>
            </w:r>
            <w:proofErr w:type="spellStart"/>
            <w:r w:rsidRPr="00B9406D">
              <w:t>domainat</w:t>
            </w:r>
            <w:proofErr w:type="spellEnd"/>
            <w:r w:rsidRPr="00B9406D">
              <w:t xml:space="preserve"> 3GPP</w:t>
            </w:r>
          </w:p>
        </w:tc>
      </w:tr>
      <w:tr w:rsidR="00EE29FD" w:rsidRPr="00CE3D32" w14:paraId="174BC154" w14:textId="77777777" w:rsidTr="00B9653F">
        <w:trPr>
          <w:trHeight w:val="2846"/>
        </w:trPr>
        <w:tc>
          <w:tcPr>
            <w:tcW w:w="1951" w:type="dxa"/>
            <w:vAlign w:val="center"/>
          </w:tcPr>
          <w:p w14:paraId="2CF291E8" w14:textId="77777777" w:rsidR="00EE29FD" w:rsidRPr="000E38F0" w:rsidRDefault="00EE29FD" w:rsidP="00B9653F">
            <w:pPr>
              <w:numPr>
                <w:ilvl w:val="12"/>
                <w:numId w:val="0"/>
              </w:numPr>
              <w:ind w:right="-108"/>
              <w:jc w:val="center"/>
              <w:rPr>
                <w:b/>
                <w:smallCaps/>
                <w:sz w:val="28"/>
              </w:rPr>
            </w:pPr>
            <w:r w:rsidRPr="000E38F0">
              <w:rPr>
                <w:b/>
                <w:smallCaps/>
                <w:sz w:val="28"/>
              </w:rPr>
              <w:t>Who</w:t>
            </w:r>
          </w:p>
        </w:tc>
        <w:tc>
          <w:tcPr>
            <w:tcW w:w="7796" w:type="dxa"/>
            <w:vAlign w:val="center"/>
          </w:tcPr>
          <w:p w14:paraId="70D43B9C" w14:textId="16ED4FA9" w:rsidR="00EE29FD" w:rsidRDefault="00EE29FD" w:rsidP="00B9653F">
            <w:r w:rsidRPr="000E38F0">
              <w:t>The workshop will provide a forum for discus</w:t>
            </w:r>
            <w:r>
              <w:t xml:space="preserve">sion and development of IALA </w:t>
            </w:r>
            <w:r w:rsidR="00B9406D">
              <w:t>position and documentation</w:t>
            </w:r>
            <w:r>
              <w:t xml:space="preserve"> on </w:t>
            </w:r>
            <w:r w:rsidR="00B9406D">
              <w:t>the application of IMT system family</w:t>
            </w:r>
            <w:r w:rsidRPr="000E38F0">
              <w:t>.  I</w:t>
            </w:r>
            <w:r>
              <w:t>t is envis</w:t>
            </w:r>
            <w:r w:rsidRPr="000E38F0">
              <w:t xml:space="preserve">aged </w:t>
            </w:r>
            <w:r>
              <w:t>that invitations will be sent to</w:t>
            </w:r>
            <w:r w:rsidRPr="000E38F0">
              <w:t>:</w:t>
            </w:r>
          </w:p>
          <w:p w14:paraId="18FFB0B5" w14:textId="77777777" w:rsidR="00EE29FD" w:rsidRPr="000E38F0" w:rsidRDefault="00EE29FD" w:rsidP="00B9653F"/>
          <w:p w14:paraId="242ACBEC" w14:textId="77777777" w:rsidR="00EE29FD" w:rsidRPr="00CE3D32" w:rsidRDefault="00EE29FD" w:rsidP="00EE29FD">
            <w:pPr>
              <w:pStyle w:val="Bullet1"/>
              <w:tabs>
                <w:tab w:val="num" w:pos="1134"/>
              </w:tabs>
              <w:spacing w:after="0"/>
            </w:pPr>
            <w:r w:rsidRPr="003B55CE">
              <w:rPr>
                <w:rFonts w:eastAsia="MS Mincho"/>
                <w:lang w:eastAsia="ja-JP"/>
              </w:rPr>
              <w:t>M</w:t>
            </w:r>
            <w:r w:rsidRPr="003B55CE">
              <w:rPr>
                <w:rFonts w:eastAsia="MS Mincho" w:hint="eastAsia"/>
                <w:lang w:eastAsia="ja-JP"/>
              </w:rPr>
              <w:t xml:space="preserve">arine </w:t>
            </w:r>
            <w:r w:rsidRPr="003B55CE">
              <w:rPr>
                <w:rFonts w:eastAsia="MS Mincho"/>
                <w:lang w:eastAsia="ja-JP"/>
              </w:rPr>
              <w:t>aids to navigation</w:t>
            </w:r>
            <w:r>
              <w:rPr>
                <w:rFonts w:eastAsia="MS Mincho"/>
                <w:lang w:eastAsia="ja-JP"/>
              </w:rPr>
              <w:t xml:space="preserve"> authorities and</w:t>
            </w:r>
            <w:r w:rsidRPr="003B55CE">
              <w:rPr>
                <w:rFonts w:eastAsia="MS Mincho"/>
                <w:lang w:eastAsia="ja-JP"/>
              </w:rPr>
              <w:t xml:space="preserve"> providers</w:t>
            </w:r>
          </w:p>
          <w:p w14:paraId="18DDF11B" w14:textId="5E452226" w:rsidR="00EE29FD" w:rsidRPr="00CE3D32" w:rsidRDefault="00EE29FD" w:rsidP="00EE29FD">
            <w:pPr>
              <w:pStyle w:val="Bullet1"/>
              <w:tabs>
                <w:tab w:val="num" w:pos="1134"/>
              </w:tabs>
              <w:spacing w:after="0"/>
            </w:pPr>
            <w:r>
              <w:rPr>
                <w:rFonts w:eastAsia="MS Mincho"/>
                <w:lang w:eastAsia="ja-JP"/>
              </w:rPr>
              <w:t xml:space="preserve">Maritime </w:t>
            </w:r>
            <w:r w:rsidRPr="003B55CE">
              <w:rPr>
                <w:rFonts w:eastAsia="MS Mincho"/>
                <w:lang w:eastAsia="ja-JP"/>
              </w:rPr>
              <w:t>authorities</w:t>
            </w:r>
            <w:r>
              <w:rPr>
                <w:rFonts w:eastAsia="MS Mincho"/>
                <w:lang w:eastAsia="ja-JP"/>
              </w:rPr>
              <w:t xml:space="preserve"> such as IMO, ITU, IEC, CIRM, RTCM</w:t>
            </w:r>
          </w:p>
          <w:p w14:paraId="15776085" w14:textId="77777777" w:rsidR="00EE29FD" w:rsidRPr="00CE3D32" w:rsidRDefault="00EE29FD" w:rsidP="00EE29FD">
            <w:pPr>
              <w:pStyle w:val="Bullet1"/>
              <w:tabs>
                <w:tab w:val="num" w:pos="1134"/>
              </w:tabs>
              <w:spacing w:after="0"/>
            </w:pPr>
            <w:r w:rsidRPr="003B55CE">
              <w:rPr>
                <w:rFonts w:eastAsia="MS Mincho"/>
                <w:lang w:eastAsia="ja-JP"/>
              </w:rPr>
              <w:t>Association of seafarers</w:t>
            </w:r>
          </w:p>
          <w:p w14:paraId="1FBE7B47" w14:textId="77777777" w:rsidR="00EE29FD" w:rsidRPr="00CE3D32" w:rsidRDefault="00EE29FD" w:rsidP="00EE29FD">
            <w:pPr>
              <w:pStyle w:val="Bullet1"/>
              <w:tabs>
                <w:tab w:val="num" w:pos="1134"/>
              </w:tabs>
              <w:spacing w:after="0"/>
            </w:pPr>
            <w:r w:rsidRPr="003B55CE">
              <w:rPr>
                <w:rFonts w:eastAsia="MS Mincho" w:hint="eastAsia"/>
                <w:lang w:eastAsia="ja-JP"/>
              </w:rPr>
              <w:t>Ship owners/ operators</w:t>
            </w:r>
          </w:p>
          <w:p w14:paraId="698C05AB" w14:textId="4E9D08D2" w:rsidR="00EE29FD" w:rsidRPr="00CF77EF" w:rsidRDefault="00EE29FD" w:rsidP="00EE29FD">
            <w:pPr>
              <w:pStyle w:val="Bullet1"/>
              <w:tabs>
                <w:tab w:val="num" w:pos="1134"/>
              </w:tabs>
              <w:spacing w:after="0"/>
            </w:pPr>
            <w:r w:rsidRPr="003B55CE">
              <w:rPr>
                <w:rFonts w:eastAsia="MS Mincho" w:hint="eastAsia"/>
                <w:lang w:eastAsia="ja-JP"/>
              </w:rPr>
              <w:t xml:space="preserve">Industry members involved in </w:t>
            </w:r>
            <w:r>
              <w:rPr>
                <w:rFonts w:eastAsia="MS Mincho"/>
                <w:lang w:eastAsia="ja-JP"/>
              </w:rPr>
              <w:t>radio communication</w:t>
            </w:r>
            <w:r w:rsidRPr="003B55CE">
              <w:rPr>
                <w:rFonts w:eastAsia="MS Mincho" w:hint="eastAsia"/>
                <w:lang w:eastAsia="ja-JP"/>
              </w:rPr>
              <w:t xml:space="preserve"> </w:t>
            </w:r>
            <w:r>
              <w:rPr>
                <w:rFonts w:eastAsia="MS Mincho"/>
                <w:lang w:eastAsia="ja-JP"/>
              </w:rPr>
              <w:t>equipment and systems</w:t>
            </w:r>
          </w:p>
          <w:p w14:paraId="3BC257C6" w14:textId="2E069DED" w:rsidR="00EE29FD" w:rsidRPr="00B9406D" w:rsidRDefault="00EE29FD" w:rsidP="00EE29FD">
            <w:pPr>
              <w:pStyle w:val="Bullet1"/>
              <w:tabs>
                <w:tab w:val="num" w:pos="1134"/>
              </w:tabs>
              <w:spacing w:after="0"/>
            </w:pPr>
            <w:r>
              <w:rPr>
                <w:rFonts w:eastAsia="MS Mincho" w:hint="eastAsia"/>
                <w:lang w:eastAsia="ja-JP"/>
              </w:rPr>
              <w:t>W</w:t>
            </w:r>
            <w:r>
              <w:rPr>
                <w:rFonts w:eastAsia="MS Mincho"/>
                <w:lang w:eastAsia="ja-JP"/>
              </w:rPr>
              <w:t>WA target</w:t>
            </w:r>
            <w:r w:rsidR="00B9406D">
              <w:rPr>
                <w:rFonts w:eastAsia="MS Mincho"/>
                <w:lang w:eastAsia="ja-JP"/>
              </w:rPr>
              <w:t xml:space="preserve"> countries</w:t>
            </w:r>
          </w:p>
          <w:p w14:paraId="4EE55045" w14:textId="287E15FF" w:rsidR="00B9406D" w:rsidRPr="00CE3D32" w:rsidRDefault="00B9406D" w:rsidP="00EE29FD">
            <w:pPr>
              <w:pStyle w:val="Bullet1"/>
              <w:tabs>
                <w:tab w:val="num" w:pos="1134"/>
              </w:tabs>
              <w:spacing w:after="0"/>
            </w:pPr>
            <w:r>
              <w:rPr>
                <w:rFonts w:eastAsia="MS Mincho"/>
                <w:lang w:eastAsia="ja-JP"/>
              </w:rPr>
              <w:t xml:space="preserve">Inland waterway organisations and/or authorities such as PIANC, IEHG, regional inland waterway network organisations in Europe, </w:t>
            </w:r>
            <w:r w:rsidRPr="00B9406D">
              <w:rPr>
                <w:rFonts w:eastAsia="MS Mincho"/>
                <w:highlight w:val="yellow"/>
                <w:lang w:eastAsia="ja-JP"/>
              </w:rPr>
              <w:t>and …</w:t>
            </w:r>
          </w:p>
          <w:p w14:paraId="29AE1AED" w14:textId="77777777" w:rsidR="00EE29FD" w:rsidRPr="000E38F0" w:rsidRDefault="00EE29FD" w:rsidP="00B9653F">
            <w:pPr>
              <w:pStyle w:val="Bullet1"/>
              <w:numPr>
                <w:ilvl w:val="0"/>
                <w:numId w:val="0"/>
              </w:numPr>
            </w:pPr>
          </w:p>
        </w:tc>
      </w:tr>
      <w:tr w:rsidR="00EE29FD" w:rsidRPr="000E38F0" w14:paraId="0F5E94C2" w14:textId="77777777" w:rsidTr="00B9653F">
        <w:trPr>
          <w:trHeight w:val="468"/>
        </w:trPr>
        <w:tc>
          <w:tcPr>
            <w:tcW w:w="1951" w:type="dxa"/>
            <w:vAlign w:val="center"/>
          </w:tcPr>
          <w:p w14:paraId="50447514" w14:textId="77777777" w:rsidR="00EE29FD" w:rsidRPr="000E38F0" w:rsidRDefault="00EE29FD" w:rsidP="00B9653F">
            <w:pPr>
              <w:numPr>
                <w:ilvl w:val="12"/>
                <w:numId w:val="0"/>
              </w:numPr>
              <w:ind w:right="-108"/>
              <w:jc w:val="center"/>
              <w:rPr>
                <w:b/>
                <w:smallCaps/>
                <w:sz w:val="28"/>
              </w:rPr>
            </w:pPr>
            <w:r w:rsidRPr="000E38F0">
              <w:rPr>
                <w:b/>
                <w:smallCaps/>
                <w:sz w:val="28"/>
              </w:rPr>
              <w:t>Size of Group</w:t>
            </w:r>
          </w:p>
        </w:tc>
        <w:tc>
          <w:tcPr>
            <w:tcW w:w="7796" w:type="dxa"/>
            <w:vAlign w:val="center"/>
          </w:tcPr>
          <w:p w14:paraId="24CAB3C0" w14:textId="36C5406D" w:rsidR="00EE29FD" w:rsidRPr="003E7DCE" w:rsidRDefault="00EE29FD" w:rsidP="003E7DCE">
            <w:pPr>
              <w:pStyle w:val="BodyText"/>
            </w:pPr>
            <w:r w:rsidRPr="000B58CA">
              <w:t xml:space="preserve">It is expected that the Workshop will attract a group of up to </w:t>
            </w:r>
            <w:r w:rsidR="003E7DCE">
              <w:t>[50]</w:t>
            </w:r>
            <w:r w:rsidRPr="000B58CA">
              <w:t xml:space="preserve"> persons.</w:t>
            </w:r>
          </w:p>
        </w:tc>
      </w:tr>
      <w:tr w:rsidR="00EE29FD" w:rsidRPr="000E38F0" w14:paraId="66AEE44A" w14:textId="77777777" w:rsidTr="00B9653F">
        <w:trPr>
          <w:trHeight w:val="449"/>
        </w:trPr>
        <w:tc>
          <w:tcPr>
            <w:tcW w:w="1951" w:type="dxa"/>
            <w:vAlign w:val="center"/>
          </w:tcPr>
          <w:p w14:paraId="3A7D9F4F" w14:textId="77777777" w:rsidR="00EE29FD" w:rsidRPr="000E38F0" w:rsidRDefault="00EE29FD" w:rsidP="00B9653F">
            <w:pPr>
              <w:numPr>
                <w:ilvl w:val="12"/>
                <w:numId w:val="0"/>
              </w:numPr>
              <w:ind w:right="-108"/>
              <w:jc w:val="center"/>
              <w:rPr>
                <w:b/>
                <w:smallCaps/>
                <w:sz w:val="28"/>
              </w:rPr>
            </w:pPr>
            <w:r w:rsidRPr="000E38F0">
              <w:rPr>
                <w:b/>
                <w:smallCaps/>
                <w:sz w:val="28"/>
              </w:rPr>
              <w:t>Where</w:t>
            </w:r>
          </w:p>
        </w:tc>
        <w:tc>
          <w:tcPr>
            <w:tcW w:w="7796" w:type="dxa"/>
            <w:vAlign w:val="center"/>
          </w:tcPr>
          <w:p w14:paraId="00556275" w14:textId="6E596286" w:rsidR="00EE29FD" w:rsidRPr="003B55CE" w:rsidRDefault="003E7DCE" w:rsidP="001E0B09">
            <w:pPr>
              <w:pStyle w:val="BodyText"/>
              <w:rPr>
                <w:rFonts w:eastAsia="MS Mincho"/>
                <w:lang w:eastAsia="ja-JP"/>
              </w:rPr>
            </w:pPr>
            <w:r>
              <w:rPr>
                <w:rFonts w:eastAsia="MS Mincho"/>
                <w:lang w:eastAsia="ja-JP"/>
              </w:rPr>
              <w:t>[</w:t>
            </w:r>
            <w:r w:rsidR="00D02F72">
              <w:rPr>
                <w:rFonts w:eastAsia="MS Mincho"/>
                <w:lang w:eastAsia="ja-JP"/>
              </w:rPr>
              <w:t xml:space="preserve">UN-city </w:t>
            </w:r>
            <w:r>
              <w:rPr>
                <w:rFonts w:eastAsia="MS Mincho"/>
                <w:lang w:eastAsia="ja-JP"/>
              </w:rPr>
              <w:t>Bonn-upon-Rhine, Germany – headquarters of the German Federal Waterways and Shipping Administration] [to be confirmed]</w:t>
            </w:r>
          </w:p>
        </w:tc>
      </w:tr>
      <w:tr w:rsidR="00EE29FD" w:rsidRPr="000E38F0" w14:paraId="08BC3F67" w14:textId="77777777" w:rsidTr="00B9653F">
        <w:trPr>
          <w:trHeight w:val="348"/>
        </w:trPr>
        <w:tc>
          <w:tcPr>
            <w:tcW w:w="1951" w:type="dxa"/>
            <w:vAlign w:val="center"/>
          </w:tcPr>
          <w:p w14:paraId="5E78D727" w14:textId="77777777" w:rsidR="00EE29FD" w:rsidRPr="000E38F0" w:rsidRDefault="00EE29FD" w:rsidP="00B9653F">
            <w:pPr>
              <w:numPr>
                <w:ilvl w:val="12"/>
                <w:numId w:val="0"/>
              </w:numPr>
              <w:ind w:right="-108"/>
              <w:jc w:val="center"/>
              <w:rPr>
                <w:b/>
                <w:smallCaps/>
                <w:sz w:val="28"/>
              </w:rPr>
            </w:pPr>
            <w:r w:rsidRPr="000E38F0">
              <w:rPr>
                <w:b/>
                <w:smallCaps/>
                <w:sz w:val="28"/>
              </w:rPr>
              <w:t>Duration</w:t>
            </w:r>
          </w:p>
        </w:tc>
        <w:tc>
          <w:tcPr>
            <w:tcW w:w="7796" w:type="dxa"/>
            <w:vAlign w:val="center"/>
          </w:tcPr>
          <w:p w14:paraId="5CE2ED73" w14:textId="410B0752" w:rsidR="00EE29FD" w:rsidRPr="000E38F0" w:rsidRDefault="003E7DCE" w:rsidP="00B9653F">
            <w:pPr>
              <w:pStyle w:val="BodyText"/>
            </w:pPr>
            <w:r>
              <w:t>Monday to Friday of the same week</w:t>
            </w:r>
          </w:p>
        </w:tc>
      </w:tr>
      <w:tr w:rsidR="00EE29FD" w:rsidRPr="000E38F0" w14:paraId="38346259" w14:textId="77777777" w:rsidTr="00B9653F">
        <w:trPr>
          <w:trHeight w:val="461"/>
        </w:trPr>
        <w:tc>
          <w:tcPr>
            <w:tcW w:w="1951" w:type="dxa"/>
            <w:vAlign w:val="center"/>
          </w:tcPr>
          <w:p w14:paraId="38D9181A" w14:textId="77777777" w:rsidR="00EE29FD" w:rsidRPr="000E38F0" w:rsidRDefault="00EE29FD" w:rsidP="00B9653F">
            <w:pPr>
              <w:numPr>
                <w:ilvl w:val="12"/>
                <w:numId w:val="0"/>
              </w:numPr>
              <w:ind w:right="-108"/>
              <w:jc w:val="center"/>
              <w:rPr>
                <w:b/>
                <w:smallCaps/>
                <w:sz w:val="28"/>
              </w:rPr>
            </w:pPr>
            <w:r w:rsidRPr="000E38F0">
              <w:rPr>
                <w:b/>
                <w:smallCaps/>
                <w:sz w:val="28"/>
              </w:rPr>
              <w:t>When</w:t>
            </w:r>
          </w:p>
        </w:tc>
        <w:tc>
          <w:tcPr>
            <w:tcW w:w="7796" w:type="dxa"/>
            <w:vAlign w:val="center"/>
          </w:tcPr>
          <w:p w14:paraId="7B7E746F" w14:textId="7BFC736F" w:rsidR="00EE29FD" w:rsidRDefault="003E7DCE" w:rsidP="003E7DCE">
            <w:pPr>
              <w:pStyle w:val="BodyText"/>
              <w:rPr>
                <w:rFonts w:eastAsia="MS Mincho"/>
                <w:lang w:eastAsia="ja-JP"/>
              </w:rPr>
            </w:pPr>
            <w:r>
              <w:rPr>
                <w:rFonts w:eastAsia="MS Mincho" w:hint="eastAsia"/>
                <w:lang w:eastAsia="ja-JP"/>
              </w:rPr>
              <w:t xml:space="preserve">[End of August 2025] (due to the urgency of the provision of connectivity for </w:t>
            </w:r>
            <w:r>
              <w:rPr>
                <w:rFonts w:eastAsia="MS Mincho"/>
                <w:lang w:eastAsia="ja-JP"/>
              </w:rPr>
              <w:t xml:space="preserve">e.g. </w:t>
            </w:r>
            <w:r>
              <w:rPr>
                <w:rFonts w:eastAsia="MS Mincho" w:hint="eastAsia"/>
                <w:lang w:eastAsia="ja-JP"/>
              </w:rPr>
              <w:t>S-100 world and MASS</w:t>
            </w:r>
            <w:r>
              <w:rPr>
                <w:rFonts w:eastAsia="MS Mincho"/>
                <w:lang w:eastAsia="ja-JP"/>
              </w:rPr>
              <w:t>)</w:t>
            </w:r>
          </w:p>
          <w:p w14:paraId="3D45C21B" w14:textId="345759CA" w:rsidR="00EE29FD" w:rsidRPr="003B55CE" w:rsidRDefault="001E0B09" w:rsidP="00D02F72">
            <w:pPr>
              <w:pStyle w:val="BodyText"/>
              <w:ind w:firstLineChars="50" w:firstLine="110"/>
              <w:rPr>
                <w:rFonts w:eastAsia="MS Mincho"/>
                <w:lang w:eastAsia="ja-JP"/>
              </w:rPr>
            </w:pPr>
            <w:r>
              <w:rPr>
                <w:rFonts w:eastAsia="MS Mincho"/>
                <w:lang w:eastAsia="ja-JP"/>
              </w:rPr>
              <w:lastRenderedPageBreak/>
              <w:t xml:space="preserve">Note: </w:t>
            </w:r>
            <w:r w:rsidR="00D02F72">
              <w:rPr>
                <w:rFonts w:eastAsia="MS Mincho"/>
                <w:lang w:eastAsia="ja-JP"/>
              </w:rPr>
              <w:t>A “</w:t>
            </w:r>
            <w:r>
              <w:rPr>
                <w:rFonts w:eastAsia="MS Mincho"/>
                <w:lang w:eastAsia="ja-JP"/>
              </w:rPr>
              <w:t>Workshop and Seminar on Maritime Radionavigation and Radiocommunication in Digital Era</w:t>
            </w:r>
            <w:r w:rsidR="00D02F72">
              <w:rPr>
                <w:rFonts w:eastAsia="MS Mincho"/>
                <w:lang w:eastAsia="ja-JP"/>
              </w:rPr>
              <w:t>”</w:t>
            </w:r>
            <w:r>
              <w:rPr>
                <w:rFonts w:eastAsia="MS Mincho"/>
                <w:lang w:eastAsia="ja-JP"/>
              </w:rPr>
              <w:t xml:space="preserve"> </w:t>
            </w:r>
            <w:r w:rsidR="00D02F72">
              <w:rPr>
                <w:rFonts w:eastAsia="MS Mincho"/>
                <w:lang w:eastAsia="ja-JP"/>
              </w:rPr>
              <w:t xml:space="preserve">is </w:t>
            </w:r>
            <w:r>
              <w:rPr>
                <w:rFonts w:eastAsia="MS Mincho"/>
                <w:lang w:eastAsia="ja-JP"/>
              </w:rPr>
              <w:t xml:space="preserve">scheduled for 2026; the workshop proposed here can contribute significantly to the understanding of the IMT technologies </w:t>
            </w:r>
            <w:r w:rsidR="00D02F72">
              <w:rPr>
                <w:rFonts w:eastAsia="MS Mincho"/>
                <w:lang w:eastAsia="ja-JP"/>
              </w:rPr>
              <w:t>and thus supports</w:t>
            </w:r>
            <w:r>
              <w:rPr>
                <w:rFonts w:eastAsia="MS Mincho"/>
                <w:lang w:eastAsia="ja-JP"/>
              </w:rPr>
              <w:t xml:space="preserve"> the 2026 workshop</w:t>
            </w:r>
            <w:r w:rsidR="00D02F72">
              <w:rPr>
                <w:rFonts w:eastAsia="MS Mincho"/>
                <w:lang w:eastAsia="ja-JP"/>
              </w:rPr>
              <w:t>,</w:t>
            </w:r>
            <w:r>
              <w:rPr>
                <w:rFonts w:eastAsia="MS Mincho"/>
                <w:lang w:eastAsia="ja-JP"/>
              </w:rPr>
              <w:t xml:space="preserve"> which is broader in scope.</w:t>
            </w:r>
          </w:p>
        </w:tc>
      </w:tr>
      <w:tr w:rsidR="00EE29FD" w:rsidRPr="000E38F0" w14:paraId="6E7A1124" w14:textId="77777777" w:rsidTr="00B9653F">
        <w:tc>
          <w:tcPr>
            <w:tcW w:w="1951" w:type="dxa"/>
            <w:vAlign w:val="center"/>
          </w:tcPr>
          <w:p w14:paraId="4CADB052" w14:textId="77777777" w:rsidR="00EE29FD" w:rsidRPr="000E38F0" w:rsidRDefault="00EE29FD" w:rsidP="00B9653F">
            <w:pPr>
              <w:numPr>
                <w:ilvl w:val="12"/>
                <w:numId w:val="0"/>
              </w:numPr>
              <w:ind w:right="-108"/>
              <w:jc w:val="center"/>
              <w:rPr>
                <w:b/>
                <w:smallCaps/>
                <w:sz w:val="28"/>
              </w:rPr>
            </w:pPr>
            <w:r w:rsidRPr="000E38F0">
              <w:rPr>
                <w:b/>
                <w:smallCaps/>
                <w:sz w:val="28"/>
              </w:rPr>
              <w:lastRenderedPageBreak/>
              <w:t>Cost to Participants</w:t>
            </w:r>
          </w:p>
        </w:tc>
        <w:tc>
          <w:tcPr>
            <w:tcW w:w="7796" w:type="dxa"/>
            <w:vAlign w:val="center"/>
          </w:tcPr>
          <w:p w14:paraId="3E521846" w14:textId="77777777" w:rsidR="00EE29FD" w:rsidRPr="00144882" w:rsidRDefault="00EE29FD" w:rsidP="00B9653F">
            <w:pPr>
              <w:pStyle w:val="BodyText"/>
              <w:rPr>
                <w:rFonts w:eastAsia="Calibri"/>
              </w:rPr>
            </w:pPr>
            <w:r>
              <w:t xml:space="preserve">TBD </w:t>
            </w:r>
          </w:p>
        </w:tc>
      </w:tr>
      <w:tr w:rsidR="00EE29FD" w:rsidRPr="000E38F0" w14:paraId="7ED324E2" w14:textId="77777777" w:rsidTr="00B9653F">
        <w:trPr>
          <w:trHeight w:val="1356"/>
        </w:trPr>
        <w:tc>
          <w:tcPr>
            <w:tcW w:w="1951" w:type="dxa"/>
            <w:vAlign w:val="center"/>
          </w:tcPr>
          <w:p w14:paraId="5BF07881" w14:textId="77777777" w:rsidR="00EE29FD" w:rsidRPr="000E38F0" w:rsidRDefault="00EE29FD" w:rsidP="00B9653F">
            <w:pPr>
              <w:numPr>
                <w:ilvl w:val="12"/>
                <w:numId w:val="0"/>
              </w:numPr>
              <w:ind w:right="-108"/>
              <w:jc w:val="center"/>
              <w:rPr>
                <w:b/>
                <w:smallCaps/>
                <w:sz w:val="28"/>
              </w:rPr>
            </w:pPr>
            <w:r w:rsidRPr="000E38F0">
              <w:rPr>
                <w:b/>
                <w:smallCaps/>
                <w:sz w:val="28"/>
              </w:rPr>
              <w:t>Process</w:t>
            </w:r>
          </w:p>
        </w:tc>
        <w:tc>
          <w:tcPr>
            <w:tcW w:w="7796" w:type="dxa"/>
            <w:vAlign w:val="center"/>
          </w:tcPr>
          <w:p w14:paraId="334BD264" w14:textId="77777777" w:rsidR="00EE29FD" w:rsidRDefault="00EE29FD" w:rsidP="00B9653F">
            <w:pPr>
              <w:pStyle w:val="BodyText"/>
              <w:rPr>
                <w:rFonts w:eastAsia="Yu Mincho"/>
                <w:lang w:eastAsia="ja-JP"/>
              </w:rPr>
            </w:pPr>
            <w:r>
              <w:rPr>
                <w:rFonts w:eastAsia="Yu Mincho" w:hint="eastAsia"/>
                <w:lang w:eastAsia="ja-JP"/>
              </w:rPr>
              <w:t>T</w:t>
            </w:r>
            <w:r>
              <w:rPr>
                <w:rFonts w:eastAsia="Yu Mincho"/>
                <w:lang w:eastAsia="ja-JP"/>
              </w:rPr>
              <w:t>BD</w:t>
            </w:r>
          </w:p>
        </w:tc>
      </w:tr>
      <w:tr w:rsidR="00EE29FD" w:rsidRPr="000E38F0" w14:paraId="63A73D8B" w14:textId="77777777" w:rsidTr="00B9653F">
        <w:trPr>
          <w:trHeight w:val="1356"/>
        </w:trPr>
        <w:tc>
          <w:tcPr>
            <w:tcW w:w="1951" w:type="dxa"/>
            <w:vAlign w:val="center"/>
          </w:tcPr>
          <w:p w14:paraId="053AFB26" w14:textId="77777777" w:rsidR="00EE29FD" w:rsidRPr="000E38F0" w:rsidRDefault="00EE29FD" w:rsidP="00B9653F">
            <w:pPr>
              <w:numPr>
                <w:ilvl w:val="12"/>
                <w:numId w:val="0"/>
              </w:numPr>
              <w:ind w:right="-108"/>
              <w:jc w:val="center"/>
              <w:rPr>
                <w:b/>
                <w:smallCaps/>
                <w:sz w:val="28"/>
              </w:rPr>
            </w:pPr>
            <w:r w:rsidRPr="000E38F0">
              <w:rPr>
                <w:b/>
                <w:smallCaps/>
                <w:sz w:val="28"/>
              </w:rPr>
              <w:t>Steering Committee</w:t>
            </w:r>
          </w:p>
        </w:tc>
        <w:tc>
          <w:tcPr>
            <w:tcW w:w="7796" w:type="dxa"/>
            <w:vAlign w:val="center"/>
          </w:tcPr>
          <w:p w14:paraId="42C19CD3" w14:textId="77777777" w:rsidR="00EE29FD" w:rsidRPr="000E38F0" w:rsidRDefault="00EE29FD" w:rsidP="00B9653F">
            <w:pPr>
              <w:pStyle w:val="BodyText"/>
            </w:pPr>
            <w:r w:rsidRPr="000E38F0">
              <w:t xml:space="preserve">Proposed Steering Committee for </w:t>
            </w:r>
            <w:r w:rsidRPr="00CD5129">
              <w:t>the Workshop:</w:t>
            </w:r>
          </w:p>
          <w:p w14:paraId="18AA1116" w14:textId="6F007A5C" w:rsidR="00EE29FD" w:rsidRPr="003B55CE" w:rsidRDefault="00EE29FD" w:rsidP="00B9653F">
            <w:pPr>
              <w:pStyle w:val="List1indent1text"/>
              <w:rPr>
                <w:rFonts w:eastAsia="MS Mincho"/>
                <w:lang w:eastAsia="ja-JP"/>
              </w:rPr>
            </w:pPr>
            <w:r w:rsidRPr="003B55CE">
              <w:rPr>
                <w:rFonts w:eastAsia="MS Mincho" w:hint="eastAsia"/>
                <w:lang w:eastAsia="ja-JP"/>
              </w:rPr>
              <w:t xml:space="preserve">Chairs and vice chairs of </w:t>
            </w:r>
            <w:r>
              <w:rPr>
                <w:rFonts w:eastAsia="MS Mincho"/>
                <w:lang w:eastAsia="ja-JP"/>
              </w:rPr>
              <w:t>IALA DTEC Committees and its relevant WGs</w:t>
            </w:r>
          </w:p>
          <w:p w14:paraId="4F5E48F1" w14:textId="22EE5453" w:rsidR="00EE29FD" w:rsidRPr="003B55CE" w:rsidRDefault="00EE29FD" w:rsidP="00B9653F">
            <w:pPr>
              <w:pStyle w:val="List1indent1text"/>
              <w:rPr>
                <w:rFonts w:eastAsia="MS Mincho"/>
                <w:lang w:eastAsia="ja-JP"/>
              </w:rPr>
            </w:pPr>
            <w:r w:rsidRPr="003B55CE">
              <w:rPr>
                <w:rFonts w:eastAsia="MS Mincho" w:hint="eastAsia"/>
                <w:lang w:eastAsia="ja-JP"/>
              </w:rPr>
              <w:t xml:space="preserve">Representatives from </w:t>
            </w:r>
            <w:r>
              <w:rPr>
                <w:rFonts w:eastAsia="MS Mincho"/>
                <w:lang w:eastAsia="ja-JP"/>
              </w:rPr>
              <w:t xml:space="preserve">the </w:t>
            </w:r>
            <w:r w:rsidRPr="003B55CE">
              <w:rPr>
                <w:rFonts w:eastAsia="MS Mincho"/>
                <w:lang w:eastAsia="ja-JP"/>
              </w:rPr>
              <w:t>host organization</w:t>
            </w:r>
            <w:r w:rsidR="003E7DCE">
              <w:rPr>
                <w:rFonts w:eastAsia="MS Mincho"/>
                <w:lang w:eastAsia="ja-JP"/>
              </w:rPr>
              <w:t xml:space="preserve"> [WSV/Germany] [to be confirmed]</w:t>
            </w:r>
          </w:p>
          <w:p w14:paraId="6F21181F" w14:textId="77777777" w:rsidR="00EE29FD" w:rsidRPr="003B55CE" w:rsidRDefault="00EE29FD" w:rsidP="00B9653F">
            <w:pPr>
              <w:pStyle w:val="List1indent1text"/>
              <w:rPr>
                <w:rFonts w:eastAsia="MS Mincho"/>
                <w:lang w:eastAsia="ja-JP"/>
              </w:rPr>
            </w:pPr>
            <w:r w:rsidRPr="003B55CE">
              <w:rPr>
                <w:rFonts w:eastAsia="MS Mincho"/>
                <w:lang w:eastAsia="ja-JP"/>
              </w:rPr>
              <w:t>IALA Secretariat</w:t>
            </w:r>
            <w:r>
              <w:rPr>
                <w:rFonts w:eastAsia="MS Mincho"/>
                <w:lang w:eastAsia="ja-JP"/>
              </w:rPr>
              <w:t xml:space="preserve"> and WWA</w:t>
            </w:r>
          </w:p>
        </w:tc>
      </w:tr>
    </w:tbl>
    <w:p w14:paraId="4B83EA23" w14:textId="77777777" w:rsidR="006358E7" w:rsidRPr="00EE29FD" w:rsidRDefault="006358E7" w:rsidP="002B4566">
      <w:pPr>
        <w:spacing w:before="120" w:after="120"/>
        <w:jc w:val="both"/>
        <w:rPr>
          <w:rFonts w:asciiTheme="minorHAnsi" w:hAnsiTheme="minorHAnsi" w:cstheme="minorHAnsi"/>
          <w:lang w:eastAsia="ja-JP"/>
        </w:rPr>
      </w:pPr>
    </w:p>
    <w:sectPr w:rsidR="006358E7" w:rsidRPr="00EE29FD" w:rsidSect="00D94F18">
      <w:headerReference w:type="default" r:id="rId15"/>
      <w:footerReference w:type="default" r:id="rId16"/>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087D6F" w14:textId="77777777" w:rsidR="007335C0" w:rsidRDefault="007335C0" w:rsidP="00362CD9">
      <w:r>
        <w:separator/>
      </w:r>
    </w:p>
  </w:endnote>
  <w:endnote w:type="continuationSeparator" w:id="0">
    <w:p w14:paraId="231EE536" w14:textId="77777777" w:rsidR="007335C0" w:rsidRDefault="007335C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0EF88" w14:textId="2196BF56"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D02F72">
      <w:rPr>
        <w:rFonts w:ascii="Calibri" w:hAnsi="Calibri"/>
        <w:noProof/>
      </w:rPr>
      <w:t>2</w:t>
    </w:r>
    <w:r w:rsidR="00362CD9" w:rsidRPr="00036B9E">
      <w:rPr>
        <w:rFonts w:ascii="Calibri" w:hAnsi="Calibr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79384170"/>
      <w:docPartObj>
        <w:docPartGallery w:val="Page Numbers (Bottom of Page)"/>
        <w:docPartUnique/>
      </w:docPartObj>
    </w:sdtPr>
    <w:sdtEndPr/>
    <w:sdtContent>
      <w:p w14:paraId="41D7353B" w14:textId="5C119045" w:rsidR="00EE29FD" w:rsidRDefault="00EE29FD">
        <w:pPr>
          <w:pStyle w:val="Footer"/>
          <w:jc w:val="center"/>
        </w:pPr>
        <w:r>
          <w:fldChar w:fldCharType="begin"/>
        </w:r>
        <w:r>
          <w:instrText>PAGE   \* MERGEFORMAT</w:instrText>
        </w:r>
        <w:r>
          <w:fldChar w:fldCharType="separate"/>
        </w:r>
        <w:r w:rsidR="00D02F72" w:rsidRPr="00D02F72">
          <w:rPr>
            <w:noProof/>
            <w:lang w:val="ja-JP" w:eastAsia="ja-JP"/>
          </w:rPr>
          <w:t>2</w:t>
        </w:r>
        <w:r>
          <w:fldChar w:fldCharType="end"/>
        </w:r>
      </w:p>
    </w:sdtContent>
  </w:sdt>
  <w:p w14:paraId="1456514D" w14:textId="30B73F78" w:rsidR="00EE29FD" w:rsidRPr="00036B9E" w:rsidRDefault="00EE29FD">
    <w:pPr>
      <w:pStyle w:val="Footer"/>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9968D1" w14:textId="77777777" w:rsidR="007335C0" w:rsidRDefault="007335C0" w:rsidP="00362CD9">
      <w:r>
        <w:separator/>
      </w:r>
    </w:p>
  </w:footnote>
  <w:footnote w:type="continuationSeparator" w:id="0">
    <w:p w14:paraId="2C1DB70B" w14:textId="77777777" w:rsidR="007335C0" w:rsidRDefault="007335C0" w:rsidP="00362CD9">
      <w:r>
        <w:continuationSeparator/>
      </w:r>
    </w:p>
  </w:footnote>
  <w:footnote w:id="1">
    <w:p w14:paraId="6D0FE961" w14:textId="554073C5" w:rsidR="00F223CB" w:rsidRPr="00F223CB" w:rsidRDefault="00F223CB">
      <w:pPr>
        <w:pStyle w:val="FootnoteText"/>
      </w:pPr>
      <w:r>
        <w:rPr>
          <w:rStyle w:val="FootnoteReference"/>
        </w:rPr>
        <w:footnoteRef/>
      </w:r>
      <w:r>
        <w:t xml:space="preserve"> </w:t>
      </w:r>
      <w:r w:rsidRPr="00F223CB">
        <w:t xml:space="preserve">Recommendation ITU-R M.2083 </w:t>
      </w:r>
      <w:r>
        <w:t xml:space="preserve">(2015) </w:t>
      </w:r>
      <w:r w:rsidRPr="00F223CB">
        <w:t>refers to IMT-2020 key performance indicators; Rec</w:t>
      </w:r>
      <w:r>
        <w:t>. ITU-R M.2160 (202</w:t>
      </w:r>
      <w:r w:rsidR="005E16EA">
        <w:t>3) refers to those of IMT-2030.</w:t>
      </w:r>
    </w:p>
  </w:footnote>
  <w:footnote w:id="2">
    <w:p w14:paraId="10EB1508" w14:textId="182FD96B" w:rsidR="005E16EA" w:rsidRPr="005E16EA" w:rsidRDefault="005E16EA">
      <w:pPr>
        <w:pStyle w:val="FootnoteText"/>
      </w:pPr>
      <w:r>
        <w:rPr>
          <w:rStyle w:val="FootnoteReference"/>
        </w:rPr>
        <w:footnoteRef/>
      </w:r>
      <w:r>
        <w:t xml:space="preserve"> Report ITU-R M.2527 (2023), paragraphs 5.10 refers for maritime applications, for example; compare also IMO NCSR108/12/5 (New Zealand) for an initial analysis of connectivity requirements due to S-100 world.</w:t>
      </w:r>
    </w:p>
  </w:footnote>
  <w:footnote w:id="3">
    <w:p w14:paraId="4690387C" w14:textId="20EECFC9" w:rsidR="005E16EA" w:rsidRPr="005E16EA" w:rsidRDefault="005E16EA">
      <w:pPr>
        <w:pStyle w:val="FootnoteText"/>
      </w:pPr>
      <w:r>
        <w:rPr>
          <w:rStyle w:val="FootnoteReference"/>
        </w:rPr>
        <w:footnoteRef/>
      </w:r>
      <w:r>
        <w:t xml:space="preserve"> Reports ITU-R M.2520 (2022) from an IMT application perspective and ITU-R M.2534 (2023) from a </w:t>
      </w:r>
      <w:r w:rsidR="00FC0047">
        <w:t>C</w:t>
      </w:r>
      <w:r>
        <w:t xml:space="preserve">onnected automated vehicle perspective refer. </w:t>
      </w:r>
    </w:p>
  </w:footnote>
  <w:footnote w:id="4">
    <w:p w14:paraId="3CD02736" w14:textId="57627570" w:rsidR="00EB76A3" w:rsidRPr="00EB76A3" w:rsidRDefault="00EB76A3">
      <w:pPr>
        <w:pStyle w:val="FootnoteText"/>
      </w:pPr>
      <w:r>
        <w:rPr>
          <w:rStyle w:val="FootnoteReference"/>
        </w:rPr>
        <w:footnoteRef/>
      </w:r>
      <w:r>
        <w:t xml:space="preserve"> </w:t>
      </w:r>
      <w:r w:rsidRPr="00EB76A3">
        <w:t>„In PC5 Mode 4, vehicles autonomously select transmission resources based on sensing the environment and perform time synchronization using GNSS. There is no involvement of the cellular netw</w:t>
      </w:r>
      <w:r>
        <w:t>ork in this mode” (Report ITU-R M.2520 (2022), para 4.1.1 and other refer).</w:t>
      </w:r>
    </w:p>
  </w:footnote>
  <w:footnote w:id="5">
    <w:p w14:paraId="02BB12B3" w14:textId="0B5F930C" w:rsidR="00FC0047" w:rsidRPr="00FC0047" w:rsidRDefault="00FC0047">
      <w:pPr>
        <w:pStyle w:val="FootnoteText"/>
      </w:pPr>
      <w:r>
        <w:rPr>
          <w:rStyle w:val="FootnoteReference"/>
        </w:rPr>
        <w:footnoteRef/>
      </w:r>
      <w:r>
        <w:t xml:space="preserve"> </w:t>
      </w:r>
      <w:r w:rsidRPr="00FC0047">
        <w:t xml:space="preserve">Note that IMO Resolution MSC.530(106) </w:t>
      </w:r>
      <w:r>
        <w:t xml:space="preserve">(2023) has been expressively revoked by this Rev1 of MSC108 (May 2024), and does not exist </w:t>
      </w:r>
      <w:r w:rsidR="001E0B09">
        <w:t>anymore</w:t>
      </w:r>
      <w:r>
        <w:t>, formally speaking.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A8989" w14:textId="43300C8F" w:rsidR="007C346C" w:rsidRDefault="007C34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255EB3E6" w:rsidR="007C346C" w:rsidRDefault="007A395D" w:rsidP="007A395D">
    <w:pPr>
      <w:pStyle w:val="Header"/>
      <w:jc w:val="right"/>
    </w:pPr>
    <w:r>
      <w:rPr>
        <w:noProof/>
        <w:lang w:val="de-DE" w:eastAsia="de-D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BC2334" w:rsidRDefault="00BC2334" w:rsidP="007A395D">
    <w:pPr>
      <w:pStyle w:val="Header"/>
      <w:jc w:val="center"/>
    </w:pPr>
    <w:r>
      <w:rPr>
        <w:noProof/>
        <w:lang w:val="de-DE" w:eastAsia="de-D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0945508E" w:rsidR="007C346C" w:rsidRDefault="007C346C" w:rsidP="007A395D">
    <w:pPr>
      <w:pStyle w:val="Header"/>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9D285F" w14:textId="3D285240" w:rsidR="00EE29FD" w:rsidRDefault="00EE29FD" w:rsidP="007A395D">
    <w:pPr>
      <w:pStyle w:val="Header"/>
      <w:jc w:val="right"/>
      <w:rPr>
        <w:lang w:eastAsia="ja-JP"/>
      </w:rPr>
    </w:pPr>
    <w:r>
      <w:rPr>
        <w:noProof/>
        <w:lang w:val="de-DE" w:eastAsia="de-DE"/>
      </w:rPr>
      <w:drawing>
        <wp:anchor distT="0" distB="0" distL="114300" distR="114300" simplePos="0" relativeHeight="251668480" behindDoc="0" locked="0" layoutInCell="1" allowOverlap="1" wp14:anchorId="1622AC4A" wp14:editId="4B385C50">
          <wp:simplePos x="0" y="0"/>
          <wp:positionH relativeFrom="column">
            <wp:posOffset>5447030</wp:posOffset>
          </wp:positionH>
          <wp:positionV relativeFrom="paragraph">
            <wp:posOffset>-427990</wp:posOffset>
          </wp:positionV>
          <wp:extent cx="574675" cy="560070"/>
          <wp:effectExtent l="0" t="0" r="0" b="0"/>
          <wp:wrapSquare wrapText="bothSides"/>
          <wp:docPr id="2240143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Pr>
        <w:rFonts w:hint="eastAsia"/>
        <w:lang w:eastAsia="ja-JP"/>
      </w:rPr>
      <w:t>A</w:t>
    </w:r>
    <w:r>
      <w:rPr>
        <w:lang w:eastAsia="ja-JP"/>
      </w:rPr>
      <w:t>NNEX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1E45B45"/>
    <w:multiLevelType w:val="hybridMultilevel"/>
    <w:tmpl w:val="DF600966"/>
    <w:lvl w:ilvl="0" w:tplc="FE70D228">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467748576">
    <w:abstractNumId w:val="1"/>
  </w:num>
  <w:num w:numId="2" w16cid:durableId="1892574112">
    <w:abstractNumId w:val="0"/>
  </w:num>
  <w:num w:numId="3" w16cid:durableId="673994572">
    <w:abstractNumId w:val="7"/>
  </w:num>
  <w:num w:numId="4" w16cid:durableId="1060665332">
    <w:abstractNumId w:val="22"/>
  </w:num>
  <w:num w:numId="5" w16cid:durableId="907612375">
    <w:abstractNumId w:val="15"/>
  </w:num>
  <w:num w:numId="6" w16cid:durableId="1168980442">
    <w:abstractNumId w:val="4"/>
  </w:num>
  <w:num w:numId="7" w16cid:durableId="1076317725">
    <w:abstractNumId w:val="24"/>
  </w:num>
  <w:num w:numId="8" w16cid:durableId="1974941565">
    <w:abstractNumId w:val="10"/>
  </w:num>
  <w:num w:numId="9" w16cid:durableId="1215577534">
    <w:abstractNumId w:val="8"/>
  </w:num>
  <w:num w:numId="10" w16cid:durableId="422148354">
    <w:abstractNumId w:val="17"/>
  </w:num>
  <w:num w:numId="11" w16cid:durableId="1021051839">
    <w:abstractNumId w:val="16"/>
  </w:num>
  <w:num w:numId="12" w16cid:durableId="364064164">
    <w:abstractNumId w:val="14"/>
  </w:num>
  <w:num w:numId="13" w16cid:durableId="689258350">
    <w:abstractNumId w:val="23"/>
  </w:num>
  <w:num w:numId="14" w16cid:durableId="1973780291">
    <w:abstractNumId w:val="5"/>
  </w:num>
  <w:num w:numId="15" w16cid:durableId="504905923">
    <w:abstractNumId w:val="25"/>
  </w:num>
  <w:num w:numId="16" w16cid:durableId="1598174983">
    <w:abstractNumId w:val="13"/>
  </w:num>
  <w:num w:numId="17" w16cid:durableId="927037673">
    <w:abstractNumId w:val="6"/>
  </w:num>
  <w:num w:numId="18" w16cid:durableId="1361515042">
    <w:abstractNumId w:val="19"/>
  </w:num>
  <w:num w:numId="19" w16cid:durableId="1698190000">
    <w:abstractNumId w:val="13"/>
  </w:num>
  <w:num w:numId="20" w16cid:durableId="1517888558">
    <w:abstractNumId w:val="13"/>
  </w:num>
  <w:num w:numId="21" w16cid:durableId="697000912">
    <w:abstractNumId w:val="13"/>
  </w:num>
  <w:num w:numId="22" w16cid:durableId="1737168401">
    <w:abstractNumId w:val="13"/>
  </w:num>
  <w:num w:numId="23" w16cid:durableId="586426800">
    <w:abstractNumId w:val="21"/>
  </w:num>
  <w:num w:numId="24" w16cid:durableId="372658647">
    <w:abstractNumId w:val="3"/>
  </w:num>
  <w:num w:numId="25" w16cid:durableId="1186797234">
    <w:abstractNumId w:val="3"/>
  </w:num>
  <w:num w:numId="26" w16cid:durableId="401827941">
    <w:abstractNumId w:val="3"/>
  </w:num>
  <w:num w:numId="27" w16cid:durableId="1948150214">
    <w:abstractNumId w:val="9"/>
  </w:num>
  <w:num w:numId="28" w16cid:durableId="834951567">
    <w:abstractNumId w:val="9"/>
  </w:num>
  <w:num w:numId="29" w16cid:durableId="233394176">
    <w:abstractNumId w:val="9"/>
  </w:num>
  <w:num w:numId="30" w16cid:durableId="1089961942">
    <w:abstractNumId w:val="9"/>
  </w:num>
  <w:num w:numId="31" w16cid:durableId="1401831120">
    <w:abstractNumId w:val="9"/>
  </w:num>
  <w:num w:numId="32" w16cid:durableId="2130076991">
    <w:abstractNumId w:val="9"/>
  </w:num>
  <w:num w:numId="33" w16cid:durableId="206112736">
    <w:abstractNumId w:val="18"/>
  </w:num>
  <w:num w:numId="34" w16cid:durableId="718868732">
    <w:abstractNumId w:val="18"/>
  </w:num>
  <w:num w:numId="35" w16cid:durableId="885027792">
    <w:abstractNumId w:val="18"/>
  </w:num>
  <w:num w:numId="36" w16cid:durableId="952443367">
    <w:abstractNumId w:val="11"/>
  </w:num>
  <w:num w:numId="37" w16cid:durableId="691759575">
    <w:abstractNumId w:val="5"/>
  </w:num>
  <w:num w:numId="38" w16cid:durableId="1372342338">
    <w:abstractNumId w:val="14"/>
  </w:num>
  <w:num w:numId="39" w16cid:durableId="13954671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7314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79461285">
    <w:abstractNumId w:val="2"/>
  </w:num>
  <w:num w:numId="42" w16cid:durableId="15334231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35483156">
    <w:abstractNumId w:val="2"/>
  </w:num>
  <w:num w:numId="44" w16cid:durableId="1581718277">
    <w:abstractNumId w:val="12"/>
  </w:num>
  <w:num w:numId="45" w16cid:durableId="726949679">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26AAB"/>
    <w:rsid w:val="00036A03"/>
    <w:rsid w:val="00036B9E"/>
    <w:rsid w:val="00037DF4"/>
    <w:rsid w:val="0004700E"/>
    <w:rsid w:val="00050A95"/>
    <w:rsid w:val="00070C13"/>
    <w:rsid w:val="000715C9"/>
    <w:rsid w:val="00076A82"/>
    <w:rsid w:val="00084F33"/>
    <w:rsid w:val="0009385C"/>
    <w:rsid w:val="000A77A7"/>
    <w:rsid w:val="000B1707"/>
    <w:rsid w:val="000C1B3E"/>
    <w:rsid w:val="000C349E"/>
    <w:rsid w:val="000F312B"/>
    <w:rsid w:val="00110AE7"/>
    <w:rsid w:val="00177F4D"/>
    <w:rsid w:val="00180DDA"/>
    <w:rsid w:val="00181631"/>
    <w:rsid w:val="001B2A2D"/>
    <w:rsid w:val="001B737D"/>
    <w:rsid w:val="001C44A3"/>
    <w:rsid w:val="001D3280"/>
    <w:rsid w:val="001E0B09"/>
    <w:rsid w:val="001E0E15"/>
    <w:rsid w:val="001F3F29"/>
    <w:rsid w:val="001F528A"/>
    <w:rsid w:val="001F704E"/>
    <w:rsid w:val="00201722"/>
    <w:rsid w:val="00201792"/>
    <w:rsid w:val="002125B0"/>
    <w:rsid w:val="00243228"/>
    <w:rsid w:val="00251483"/>
    <w:rsid w:val="00255CAA"/>
    <w:rsid w:val="00264305"/>
    <w:rsid w:val="00266884"/>
    <w:rsid w:val="002A0346"/>
    <w:rsid w:val="002A4487"/>
    <w:rsid w:val="002A496B"/>
    <w:rsid w:val="002B4566"/>
    <w:rsid w:val="002B49E9"/>
    <w:rsid w:val="002C632E"/>
    <w:rsid w:val="002D3E8B"/>
    <w:rsid w:val="002D4575"/>
    <w:rsid w:val="002D5C0C"/>
    <w:rsid w:val="002E03D1"/>
    <w:rsid w:val="002E6B74"/>
    <w:rsid w:val="002E6FCA"/>
    <w:rsid w:val="00312424"/>
    <w:rsid w:val="00356CD0"/>
    <w:rsid w:val="00362CD9"/>
    <w:rsid w:val="003761CA"/>
    <w:rsid w:val="00380DAF"/>
    <w:rsid w:val="003972CE"/>
    <w:rsid w:val="003B28F5"/>
    <w:rsid w:val="003B7B7D"/>
    <w:rsid w:val="003C54CB"/>
    <w:rsid w:val="003C5A47"/>
    <w:rsid w:val="003C7A2A"/>
    <w:rsid w:val="003D2DC1"/>
    <w:rsid w:val="003D69D0"/>
    <w:rsid w:val="003E7DCE"/>
    <w:rsid w:val="003F2918"/>
    <w:rsid w:val="003F430E"/>
    <w:rsid w:val="0041088C"/>
    <w:rsid w:val="00412DD0"/>
    <w:rsid w:val="00420A38"/>
    <w:rsid w:val="00431B19"/>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D4A4C"/>
    <w:rsid w:val="005E16EA"/>
    <w:rsid w:val="005E262D"/>
    <w:rsid w:val="005F23D3"/>
    <w:rsid w:val="005F7E20"/>
    <w:rsid w:val="00605E43"/>
    <w:rsid w:val="006153BB"/>
    <w:rsid w:val="006358E7"/>
    <w:rsid w:val="006652C3"/>
    <w:rsid w:val="00667CC6"/>
    <w:rsid w:val="00691FD0"/>
    <w:rsid w:val="00692148"/>
    <w:rsid w:val="006A1A1E"/>
    <w:rsid w:val="006A7915"/>
    <w:rsid w:val="006C5948"/>
    <w:rsid w:val="006D3734"/>
    <w:rsid w:val="006F2A74"/>
    <w:rsid w:val="007000D4"/>
    <w:rsid w:val="007118F5"/>
    <w:rsid w:val="00712AA4"/>
    <w:rsid w:val="007146C4"/>
    <w:rsid w:val="00721AA1"/>
    <w:rsid w:val="00724B67"/>
    <w:rsid w:val="007335C0"/>
    <w:rsid w:val="007547F8"/>
    <w:rsid w:val="00765622"/>
    <w:rsid w:val="00770B6C"/>
    <w:rsid w:val="00783FEA"/>
    <w:rsid w:val="007A34E9"/>
    <w:rsid w:val="007A395D"/>
    <w:rsid w:val="007B6BD5"/>
    <w:rsid w:val="007C346C"/>
    <w:rsid w:val="007E0B78"/>
    <w:rsid w:val="007E6479"/>
    <w:rsid w:val="007F5447"/>
    <w:rsid w:val="0080294B"/>
    <w:rsid w:val="0082480E"/>
    <w:rsid w:val="00850293"/>
    <w:rsid w:val="00851373"/>
    <w:rsid w:val="00851BA6"/>
    <w:rsid w:val="0085654D"/>
    <w:rsid w:val="00861160"/>
    <w:rsid w:val="0086654F"/>
    <w:rsid w:val="00877B7E"/>
    <w:rsid w:val="008A356F"/>
    <w:rsid w:val="008A4653"/>
    <w:rsid w:val="008A4717"/>
    <w:rsid w:val="008A50CC"/>
    <w:rsid w:val="008B3040"/>
    <w:rsid w:val="008C574F"/>
    <w:rsid w:val="008D1694"/>
    <w:rsid w:val="008D6C1F"/>
    <w:rsid w:val="008D79CB"/>
    <w:rsid w:val="008F07BC"/>
    <w:rsid w:val="0091760D"/>
    <w:rsid w:val="0092692B"/>
    <w:rsid w:val="00930561"/>
    <w:rsid w:val="00943E9C"/>
    <w:rsid w:val="00953F4D"/>
    <w:rsid w:val="00960BB8"/>
    <w:rsid w:val="00964F5C"/>
    <w:rsid w:val="00971295"/>
    <w:rsid w:val="00973B57"/>
    <w:rsid w:val="00975900"/>
    <w:rsid w:val="009831C0"/>
    <w:rsid w:val="0099161D"/>
    <w:rsid w:val="009B0AFB"/>
    <w:rsid w:val="00A0389B"/>
    <w:rsid w:val="00A33A3C"/>
    <w:rsid w:val="00A446C9"/>
    <w:rsid w:val="00A476C2"/>
    <w:rsid w:val="00A635D6"/>
    <w:rsid w:val="00A8553A"/>
    <w:rsid w:val="00A93AED"/>
    <w:rsid w:val="00AE1319"/>
    <w:rsid w:val="00AE34BB"/>
    <w:rsid w:val="00B226F2"/>
    <w:rsid w:val="00B274DF"/>
    <w:rsid w:val="00B55D43"/>
    <w:rsid w:val="00B56BDF"/>
    <w:rsid w:val="00B60C38"/>
    <w:rsid w:val="00B61923"/>
    <w:rsid w:val="00B65812"/>
    <w:rsid w:val="00B766DC"/>
    <w:rsid w:val="00B85CD6"/>
    <w:rsid w:val="00B90A27"/>
    <w:rsid w:val="00B9406D"/>
    <w:rsid w:val="00B9554D"/>
    <w:rsid w:val="00BB2B9F"/>
    <w:rsid w:val="00BB7D9E"/>
    <w:rsid w:val="00BC2334"/>
    <w:rsid w:val="00BD3CB8"/>
    <w:rsid w:val="00BD4E6F"/>
    <w:rsid w:val="00BF32F0"/>
    <w:rsid w:val="00BF4DCE"/>
    <w:rsid w:val="00C05CE5"/>
    <w:rsid w:val="00C2524F"/>
    <w:rsid w:val="00C552AF"/>
    <w:rsid w:val="00C6171E"/>
    <w:rsid w:val="00C71104"/>
    <w:rsid w:val="00C73954"/>
    <w:rsid w:val="00C74183"/>
    <w:rsid w:val="00CA6F2C"/>
    <w:rsid w:val="00CD6A13"/>
    <w:rsid w:val="00CF1871"/>
    <w:rsid w:val="00D01874"/>
    <w:rsid w:val="00D019CE"/>
    <w:rsid w:val="00D02F72"/>
    <w:rsid w:val="00D1133E"/>
    <w:rsid w:val="00D16760"/>
    <w:rsid w:val="00D17A34"/>
    <w:rsid w:val="00D26628"/>
    <w:rsid w:val="00D332B3"/>
    <w:rsid w:val="00D55207"/>
    <w:rsid w:val="00D81801"/>
    <w:rsid w:val="00D92B45"/>
    <w:rsid w:val="00D94F18"/>
    <w:rsid w:val="00D95962"/>
    <w:rsid w:val="00DC389B"/>
    <w:rsid w:val="00DD0ADC"/>
    <w:rsid w:val="00DE205A"/>
    <w:rsid w:val="00DE2FEE"/>
    <w:rsid w:val="00DF1467"/>
    <w:rsid w:val="00DF25EC"/>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B76A3"/>
    <w:rsid w:val="00EE29FD"/>
    <w:rsid w:val="00EE3CC5"/>
    <w:rsid w:val="00EE4C1D"/>
    <w:rsid w:val="00EF3685"/>
    <w:rsid w:val="00F04350"/>
    <w:rsid w:val="00F10835"/>
    <w:rsid w:val="00F12871"/>
    <w:rsid w:val="00F12B0D"/>
    <w:rsid w:val="00F133DB"/>
    <w:rsid w:val="00F159EB"/>
    <w:rsid w:val="00F223CB"/>
    <w:rsid w:val="00F25BF4"/>
    <w:rsid w:val="00F267DB"/>
    <w:rsid w:val="00F46F6F"/>
    <w:rsid w:val="00F60608"/>
    <w:rsid w:val="00F62217"/>
    <w:rsid w:val="00FB17A9"/>
    <w:rsid w:val="00FB527C"/>
    <w:rsid w:val="00FB6F75"/>
    <w:rsid w:val="00FC0047"/>
    <w:rsid w:val="00FC0EB3"/>
    <w:rsid w:val="00FC3451"/>
    <w:rsid w:val="00FC3A18"/>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201792"/>
    <w:pPr>
      <w:autoSpaceDE w:val="0"/>
      <w:autoSpaceDN w:val="0"/>
      <w:adjustRightInd w:val="0"/>
    </w:pPr>
    <w:rPr>
      <w:rFonts w:ascii="Arial" w:hAnsi="Arial" w:cs="Arial"/>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BD248C82-49B9-4FFB-882E-98FB773BC7BB}">
  <ds:schemaRefs>
    <ds:schemaRef ds:uri="http://schemas.openxmlformats.org/officeDocument/2006/bibliography"/>
  </ds:schemaRefs>
</ds:datastoreItem>
</file>

<file path=customXml/itemProps3.xml><?xml version="1.0" encoding="utf-8"?>
<ds:datastoreItem xmlns:ds="http://schemas.openxmlformats.org/officeDocument/2006/customXml" ds:itemID="{2766B958-3488-4022-8F92-10FC3D75E2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D5D004-0F54-462F-8EC6-6F32BB74D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1362</Words>
  <Characters>7767</Characters>
  <Application>Microsoft Office Word</Application>
  <DocSecurity>0</DocSecurity>
  <Lines>64</Lines>
  <Paragraphs>18</Paragraphs>
  <ScaleCrop>false</ScaleCrop>
  <HeadingPairs>
    <vt:vector size="8" baseType="variant">
      <vt:variant>
        <vt:lpstr>Titel</vt:lpstr>
      </vt:variant>
      <vt:variant>
        <vt:i4>1</vt:i4>
      </vt:variant>
      <vt:variant>
        <vt:lpstr>タイトル</vt:lpstr>
      </vt:variant>
      <vt:variant>
        <vt:i4>1</vt:i4>
      </vt:variant>
      <vt:variant>
        <vt:lpstr>Titre</vt:lpstr>
      </vt:variant>
      <vt:variant>
        <vt:i4>1</vt:i4>
      </vt:variant>
      <vt:variant>
        <vt:lpstr>Title</vt:lpstr>
      </vt:variant>
      <vt:variant>
        <vt:i4>1</vt:i4>
      </vt:variant>
    </vt:vector>
  </HeadingPairs>
  <TitlesOfParts>
    <vt:vector size="4" baseType="lpstr">
      <vt:lpstr/>
      <vt:lpstr/>
      <vt:lpstr/>
      <vt:lpstr/>
    </vt:vector>
  </TitlesOfParts>
  <Company/>
  <LinksUpToDate>false</LinksUpToDate>
  <CharactersWithSpaces>9111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5</cp:revision>
  <dcterms:created xsi:type="dcterms:W3CDTF">2024-08-30T04:44:00Z</dcterms:created>
  <dcterms:modified xsi:type="dcterms:W3CDTF">2024-09-05T14:04:00Z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